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1C" w:rsidRPr="00296E29" w:rsidRDefault="00AC5C74" w:rsidP="00AC7054">
      <w:pPr>
        <w:pStyle w:val="Documenttitlemidpurple"/>
        <w:spacing w:before="120"/>
        <w:ind w:left="-142"/>
      </w:pPr>
      <w:bookmarkStart w:id="0" w:name="_GoBack"/>
      <w:bookmarkEnd w:id="0"/>
      <w:r>
        <w:t>High tides during 20</w:t>
      </w:r>
      <w:r w:rsidR="0038771B">
        <w:t>1</w:t>
      </w:r>
      <w:r>
        <w:t>5</w:t>
      </w:r>
    </w:p>
    <w:tbl>
      <w:tblPr>
        <w:tblW w:w="0" w:type="auto"/>
        <w:tblCellMar>
          <w:left w:w="0" w:type="dxa"/>
          <w:right w:w="0" w:type="dxa"/>
        </w:tblCellMar>
        <w:tblLook w:val="04A0" w:firstRow="1" w:lastRow="0" w:firstColumn="1" w:lastColumn="0" w:noHBand="0" w:noVBand="1"/>
      </w:tblPr>
      <w:tblGrid>
        <w:gridCol w:w="7824"/>
        <w:gridCol w:w="2601"/>
      </w:tblGrid>
      <w:tr w:rsidR="000E2786" w:rsidRPr="006811E7" w:rsidTr="007F07F4">
        <w:trPr>
          <w:trHeight w:hRule="exact" w:val="635"/>
        </w:trPr>
        <w:tc>
          <w:tcPr>
            <w:tcW w:w="7824" w:type="dxa"/>
            <w:vAlign w:val="center"/>
          </w:tcPr>
          <w:p w:rsidR="000E2786" w:rsidRPr="006811E7" w:rsidRDefault="009F5A97" w:rsidP="0038771B">
            <w:pPr>
              <w:pStyle w:val="DocumentDescription"/>
            </w:pPr>
            <w:r>
              <w:t xml:space="preserve">Update of high tide periods </w:t>
            </w:r>
            <w:r w:rsidR="0038771B">
              <w:t>this year.</w:t>
            </w:r>
            <w:r w:rsidR="00A533EF">
              <w:t xml:space="preserve"> </w:t>
            </w:r>
          </w:p>
        </w:tc>
        <w:tc>
          <w:tcPr>
            <w:tcW w:w="2601" w:type="dxa"/>
            <w:vAlign w:val="center"/>
          </w:tcPr>
          <w:p w:rsidR="000E2786" w:rsidRPr="006811E7" w:rsidRDefault="00187FF3" w:rsidP="00913475">
            <w:pPr>
              <w:pStyle w:val="Dateorreference"/>
            </w:pPr>
            <w:r>
              <w:rPr>
                <w:rFonts w:eastAsia="Arial"/>
              </w:rPr>
              <w:t>August</w:t>
            </w:r>
            <w:r w:rsidR="0038771B">
              <w:rPr>
                <w:rFonts w:eastAsia="Arial"/>
              </w:rPr>
              <w:t xml:space="preserve"> </w:t>
            </w:r>
            <w:r w:rsidR="00557878">
              <w:rPr>
                <w:rFonts w:eastAsia="Arial"/>
              </w:rPr>
              <w:t>201</w:t>
            </w:r>
            <w:r w:rsidR="0038771B">
              <w:rPr>
                <w:rFonts w:eastAsia="Arial"/>
              </w:rPr>
              <w:t>5</w:t>
            </w:r>
            <w:r w:rsidR="00215F91">
              <w:rPr>
                <w:rFonts w:eastAsia="Arial"/>
              </w:rPr>
              <w:t xml:space="preserve"> </w:t>
            </w:r>
          </w:p>
        </w:tc>
      </w:tr>
    </w:tbl>
    <w:p w:rsidR="00AC7054" w:rsidRDefault="00AC7054" w:rsidP="00CF336B">
      <w:pPr>
        <w:pStyle w:val="Introductiontext"/>
      </w:pPr>
    </w:p>
    <w:p w:rsidR="00416993" w:rsidRDefault="00416993" w:rsidP="00A570D2">
      <w:pPr>
        <w:pStyle w:val="Introductiontext"/>
      </w:pPr>
      <w:r>
        <w:t xml:space="preserve">High </w:t>
      </w:r>
      <w:r w:rsidR="00C358CE">
        <w:t xml:space="preserve">astronomic </w:t>
      </w:r>
      <w:r>
        <w:t xml:space="preserve">tides (also known as "spring tides") will be at their greatest over the next </w:t>
      </w:r>
      <w:r w:rsidR="00F412F6">
        <w:t>3</w:t>
      </w:r>
      <w:r w:rsidR="005648F6">
        <w:t xml:space="preserve"> </w:t>
      </w:r>
      <w:r>
        <w:t xml:space="preserve">months. </w:t>
      </w:r>
      <w:r w:rsidR="00207B26">
        <w:t xml:space="preserve">This is </w:t>
      </w:r>
      <w:r>
        <w:t xml:space="preserve">because </w:t>
      </w:r>
      <w:r w:rsidR="00164F85">
        <w:t>September 2015</w:t>
      </w:r>
      <w:r>
        <w:t xml:space="preserve"> is the </w:t>
      </w:r>
      <w:r w:rsidR="008B0478">
        <w:t>point</w:t>
      </w:r>
      <w:r>
        <w:t xml:space="preserve"> in a natural 19 year cycle </w:t>
      </w:r>
      <w:r w:rsidR="008B0478">
        <w:t>when the sun, moon and earth align to exert the greatest force on the tides in the UK</w:t>
      </w:r>
      <w:r>
        <w:t xml:space="preserve">. </w:t>
      </w:r>
    </w:p>
    <w:p w:rsidR="00416993" w:rsidRDefault="00416993" w:rsidP="00A570D2">
      <w:pPr>
        <w:pStyle w:val="Introductiontext"/>
      </w:pPr>
    </w:p>
    <w:p w:rsidR="0019252A" w:rsidRDefault="0019252A" w:rsidP="00A570D2">
      <w:pPr>
        <w:pStyle w:val="Introductiontext"/>
      </w:pPr>
      <w:r>
        <w:t xml:space="preserve">The increase in the size and number of high natural tides this coming </w:t>
      </w:r>
      <w:r w:rsidR="0038771B">
        <w:t>year</w:t>
      </w:r>
      <w:r>
        <w:t xml:space="preserve"> means that there is a small, but elevated, increase in risk </w:t>
      </w:r>
      <w:r w:rsidR="009F5A97">
        <w:t xml:space="preserve">of coastal flooding this </w:t>
      </w:r>
      <w:r w:rsidR="0038771B">
        <w:t xml:space="preserve">spring </w:t>
      </w:r>
      <w:r w:rsidR="009F5A97">
        <w:t xml:space="preserve">and during the winter of 2015/16 compared to "normal" years. </w:t>
      </w:r>
      <w:r>
        <w:t xml:space="preserve"> </w:t>
      </w:r>
    </w:p>
    <w:p w:rsidR="0019252A" w:rsidRDefault="0019252A" w:rsidP="00A570D2">
      <w:pPr>
        <w:pStyle w:val="Introductiontext"/>
      </w:pPr>
    </w:p>
    <w:p w:rsidR="004D4B05" w:rsidRDefault="00416993" w:rsidP="00A570D2">
      <w:pPr>
        <w:pStyle w:val="Introductiontext"/>
      </w:pPr>
      <w:r>
        <w:t>However, t</w:t>
      </w:r>
      <w:r w:rsidR="005E6663">
        <w:t xml:space="preserve">he </w:t>
      </w:r>
      <w:r w:rsidR="007F07F4">
        <w:t xml:space="preserve">weather conditions </w:t>
      </w:r>
      <w:r w:rsidR="003E4C6F">
        <w:t xml:space="preserve">that generate </w:t>
      </w:r>
      <w:r>
        <w:t xml:space="preserve">a </w:t>
      </w:r>
      <w:r w:rsidR="003E4C6F">
        <w:t>tidal surge</w:t>
      </w:r>
      <w:r w:rsidR="00A40579">
        <w:t xml:space="preserve">, or extreme waves on the </w:t>
      </w:r>
      <w:r w:rsidR="00913475">
        <w:t xml:space="preserve">east, </w:t>
      </w:r>
      <w:r w:rsidR="00A40579">
        <w:t>west and south coasts,</w:t>
      </w:r>
      <w:r w:rsidR="003E4C6F">
        <w:t xml:space="preserve"> </w:t>
      </w:r>
      <w:r w:rsidR="007F07F4">
        <w:t xml:space="preserve">will </w:t>
      </w:r>
      <w:r w:rsidR="00AC5C74">
        <w:t>continue to be the dominant factor</w:t>
      </w:r>
      <w:r w:rsidR="00A40579">
        <w:t>s</w:t>
      </w:r>
      <w:r w:rsidR="00207B26">
        <w:t xml:space="preserve"> </w:t>
      </w:r>
      <w:r w:rsidR="004D4B05">
        <w:t>influencing</w:t>
      </w:r>
      <w:r w:rsidR="00207B26">
        <w:t xml:space="preserve"> coastal flood risk.</w:t>
      </w:r>
      <w:r w:rsidR="00A40579">
        <w:t xml:space="preserve"> </w:t>
      </w:r>
      <w:r w:rsidR="00207B26">
        <w:t xml:space="preserve"> </w:t>
      </w:r>
      <w:r w:rsidR="001F541A">
        <w:t xml:space="preserve">These conditions cannot be predicted more than 6-7 days ahead. </w:t>
      </w:r>
    </w:p>
    <w:p w:rsidR="009A6328" w:rsidRDefault="009A6328" w:rsidP="00A570D2">
      <w:pPr>
        <w:pStyle w:val="Introductiontext"/>
      </w:pPr>
    </w:p>
    <w:p w:rsidR="009A6328" w:rsidRDefault="009A6328" w:rsidP="00A570D2">
      <w:pPr>
        <w:pStyle w:val="Introductiontext"/>
      </w:pPr>
      <w:r>
        <w:t>This note provides an update to the briefing</w:t>
      </w:r>
      <w:r w:rsidR="00382B8D">
        <w:t xml:space="preserve"> about the risk which was</w:t>
      </w:r>
      <w:r w:rsidR="0038771B">
        <w:t xml:space="preserve"> provided i</w:t>
      </w:r>
      <w:r>
        <w:t xml:space="preserve">n </w:t>
      </w:r>
      <w:r w:rsidR="0038771B">
        <w:t>September 2</w:t>
      </w:r>
      <w:r>
        <w:t xml:space="preserve">014. </w:t>
      </w:r>
    </w:p>
    <w:p w:rsidR="00A570D2" w:rsidRDefault="00557878" w:rsidP="007F07F4">
      <w:pPr>
        <w:pStyle w:val="Mainheading"/>
      </w:pPr>
      <w:r>
        <w:t>High astronomic tides of 201</w:t>
      </w:r>
      <w:r w:rsidR="0038771B">
        <w:t>5</w:t>
      </w:r>
    </w:p>
    <w:p w:rsidR="0038771B" w:rsidRDefault="0038771B" w:rsidP="00845E13">
      <w:r>
        <w:t xml:space="preserve">Some notably high </w:t>
      </w:r>
      <w:r w:rsidR="00557878">
        <w:t xml:space="preserve">astronomic (spring) tides occurred over the </w:t>
      </w:r>
      <w:r w:rsidR="005648F6">
        <w:t>20</w:t>
      </w:r>
      <w:r>
        <w:t>th-</w:t>
      </w:r>
      <w:r w:rsidR="009F5A97">
        <w:t>2</w:t>
      </w:r>
      <w:r w:rsidR="005648F6">
        <w:t>3rd March</w:t>
      </w:r>
      <w:r w:rsidR="00143D31">
        <w:t xml:space="preserve">. </w:t>
      </w:r>
      <w:r w:rsidR="00A733CB">
        <w:t>T</w:t>
      </w:r>
      <w:r w:rsidR="009F5A97">
        <w:t xml:space="preserve">hese </w:t>
      </w:r>
      <w:r w:rsidR="00BB65B8">
        <w:t>tides</w:t>
      </w:r>
      <w:r w:rsidR="009F5A97">
        <w:t xml:space="preserve"> </w:t>
      </w:r>
      <w:r w:rsidR="00557878">
        <w:t>passed without</w:t>
      </w:r>
      <w:r w:rsidR="00BB65B8">
        <w:t xml:space="preserve"> any</w:t>
      </w:r>
      <w:r w:rsidR="009F5A97">
        <w:t xml:space="preserve"> </w:t>
      </w:r>
      <w:r w:rsidR="00143D31">
        <w:t xml:space="preserve">significant </w:t>
      </w:r>
      <w:r w:rsidR="00BB65B8">
        <w:t>flood impacts</w:t>
      </w:r>
      <w:r w:rsidR="00143D31">
        <w:t xml:space="preserve"> due to favourable w</w:t>
      </w:r>
      <w:r w:rsidR="009A6328">
        <w:t xml:space="preserve">eather conditions </w:t>
      </w:r>
      <w:r w:rsidR="00143D31">
        <w:t xml:space="preserve">at the time </w:t>
      </w:r>
      <w:r w:rsidR="009A6328">
        <w:t>w</w:t>
      </w:r>
      <w:r>
        <w:t xml:space="preserve">hich </w:t>
      </w:r>
      <w:r w:rsidR="009A6328">
        <w:t>prevented any tidal surge or large waves from being generated</w:t>
      </w:r>
      <w:r w:rsidR="00143D31">
        <w:t xml:space="preserve"> to combine with the high tidal levels</w:t>
      </w:r>
      <w:r w:rsidR="009A6328">
        <w:t xml:space="preserve"> </w:t>
      </w:r>
    </w:p>
    <w:p w:rsidR="00845E13" w:rsidRPr="00845E13" w:rsidRDefault="008C1103" w:rsidP="00845E13">
      <w:r>
        <w:t>A</w:t>
      </w:r>
      <w:r w:rsidR="00F6594A">
        <w:t>dverse weather conditions are more common over the winter month</w:t>
      </w:r>
      <w:r w:rsidR="009A6328">
        <w:t>s</w:t>
      </w:r>
      <w:r>
        <w:t>, t</w:t>
      </w:r>
      <w:r w:rsidR="009A6328">
        <w:t>his</w:t>
      </w:r>
      <w:r w:rsidR="00F6594A">
        <w:t xml:space="preserve"> means that the </w:t>
      </w:r>
      <w:r w:rsidR="00A733CB">
        <w:t xml:space="preserve">increased risk of </w:t>
      </w:r>
      <w:r w:rsidR="00F6594A">
        <w:t>coastal flooding</w:t>
      </w:r>
      <w:r w:rsidR="001F541A">
        <w:t xml:space="preserve"> </w:t>
      </w:r>
      <w:r>
        <w:t>will return toward the end of 2015</w:t>
      </w:r>
      <w:r w:rsidR="001F541A">
        <w:t xml:space="preserve">. </w:t>
      </w:r>
    </w:p>
    <w:p w:rsidR="005E6663" w:rsidRDefault="005E6663" w:rsidP="007F07F4">
      <w:pPr>
        <w:pStyle w:val="Mainheading"/>
      </w:pPr>
      <w:r>
        <w:t xml:space="preserve">When </w:t>
      </w:r>
      <w:r w:rsidR="00A570D2">
        <w:t xml:space="preserve">are the tides notably high </w:t>
      </w:r>
      <w:r w:rsidR="0038771B">
        <w:t>during 20</w:t>
      </w:r>
      <w:r w:rsidR="00557878">
        <w:t>15</w:t>
      </w:r>
      <w:r w:rsidR="00F6594A">
        <w:t>?</w:t>
      </w:r>
      <w:r w:rsidR="00557878">
        <w:t xml:space="preserve"> </w:t>
      </w:r>
      <w:r>
        <w:t xml:space="preserve"> </w:t>
      </w:r>
    </w:p>
    <w:p w:rsidR="00557878" w:rsidRDefault="003E4C6F" w:rsidP="005648F6">
      <w:pPr>
        <w:pStyle w:val="Maintextblack"/>
      </w:pPr>
      <w:r>
        <w:lastRenderedPageBreak/>
        <w:t xml:space="preserve">Over the course of </w:t>
      </w:r>
      <w:r w:rsidR="008C1103">
        <w:t xml:space="preserve">the year </w:t>
      </w:r>
      <w:r>
        <w:t xml:space="preserve">notable high </w:t>
      </w:r>
      <w:r w:rsidR="004D4B05">
        <w:t>natural</w:t>
      </w:r>
      <w:r>
        <w:t xml:space="preserve"> tides will occur along all parts of the UK coastline</w:t>
      </w:r>
      <w:r w:rsidR="00557878">
        <w:t>.</w:t>
      </w:r>
      <w:r w:rsidR="008B0478">
        <w:t xml:space="preserve"> </w:t>
      </w:r>
      <w:r w:rsidR="00557878">
        <w:t>The dates of particular note are</w:t>
      </w:r>
      <w:r w:rsidR="009A6328">
        <w:t>;</w:t>
      </w:r>
      <w:r w:rsidR="00557878">
        <w:t xml:space="preserve"> </w:t>
      </w:r>
    </w:p>
    <w:p w:rsidR="005648F6" w:rsidRDefault="005648F6" w:rsidP="005648F6">
      <w:pPr>
        <w:pStyle w:val="Bulletroundblack"/>
      </w:pPr>
      <w:r>
        <w:t xml:space="preserve">August 30th - 3rd September </w:t>
      </w:r>
    </w:p>
    <w:p w:rsidR="0082026A" w:rsidRDefault="0082026A" w:rsidP="0082026A">
      <w:pPr>
        <w:pStyle w:val="Bulletroundblack"/>
      </w:pPr>
      <w:r>
        <w:t xml:space="preserve">September 27th - 30th </w:t>
      </w:r>
    </w:p>
    <w:p w:rsidR="008C1103" w:rsidRDefault="008C1103" w:rsidP="008C1103">
      <w:pPr>
        <w:pStyle w:val="Bulletroundblack"/>
        <w:numPr>
          <w:ilvl w:val="0"/>
          <w:numId w:val="0"/>
        </w:numPr>
        <w:ind w:left="357"/>
      </w:pPr>
    </w:p>
    <w:p w:rsidR="008C1103" w:rsidRPr="008C1103" w:rsidRDefault="008C1103" w:rsidP="008C1103">
      <w:pPr>
        <w:pStyle w:val="Bulletroundblack"/>
        <w:numPr>
          <w:ilvl w:val="0"/>
          <w:numId w:val="0"/>
        </w:numPr>
        <w:ind w:left="357"/>
      </w:pPr>
      <w:r w:rsidRPr="008C1103">
        <w:t>The peak of the astronomic cycle occurs in September 2015. Highest tides will then be on a downward t</w:t>
      </w:r>
      <w:r w:rsidR="00143D31">
        <w:t>r</w:t>
      </w:r>
      <w:r w:rsidRPr="008C1103">
        <w:t xml:space="preserve">end but winter 2015/16 will also see periods of increased flood risk. </w:t>
      </w:r>
    </w:p>
    <w:p w:rsidR="008C1103" w:rsidRDefault="008C1103" w:rsidP="0082026A">
      <w:pPr>
        <w:pStyle w:val="Bulletroundblack"/>
        <w:numPr>
          <w:ilvl w:val="0"/>
          <w:numId w:val="0"/>
        </w:numPr>
      </w:pPr>
    </w:p>
    <w:p w:rsidR="00F6594A" w:rsidRDefault="00F6594A" w:rsidP="00F6594A">
      <w:pPr>
        <w:pStyle w:val="Bulletroundblack"/>
      </w:pPr>
      <w:r>
        <w:t xml:space="preserve">October 27th - 30th </w:t>
      </w:r>
    </w:p>
    <w:p w:rsidR="00F6594A" w:rsidRDefault="00F6594A" w:rsidP="003F63C8">
      <w:pPr>
        <w:pStyle w:val="Bulletroundblack"/>
      </w:pPr>
      <w:r>
        <w:t>December 25th</w:t>
      </w:r>
      <w:r w:rsidR="00A733CB">
        <w:t xml:space="preserve"> </w:t>
      </w:r>
      <w:r w:rsidR="00D447D5">
        <w:t>- 27th</w:t>
      </w:r>
    </w:p>
    <w:p w:rsidR="00382B8D" w:rsidRDefault="00382B8D" w:rsidP="003F63C8">
      <w:pPr>
        <w:pStyle w:val="Bulletroundblack"/>
      </w:pPr>
      <w:r>
        <w:t>January 11th</w:t>
      </w:r>
      <w:r w:rsidR="00A733CB">
        <w:t xml:space="preserve"> </w:t>
      </w:r>
      <w:r>
        <w:t>-14th</w:t>
      </w:r>
    </w:p>
    <w:p w:rsidR="00187FF3" w:rsidRDefault="00187FF3" w:rsidP="00BB65B8">
      <w:pPr>
        <w:pStyle w:val="Mainheading"/>
      </w:pPr>
    </w:p>
    <w:p w:rsidR="00382B8D" w:rsidRDefault="00A643F4" w:rsidP="00BB65B8">
      <w:pPr>
        <w:pStyle w:val="Mainheading"/>
      </w:pPr>
      <w:r>
        <w:t xml:space="preserve">What can we </w:t>
      </w:r>
      <w:r w:rsidR="001F541A">
        <w:t>say</w:t>
      </w:r>
      <w:r>
        <w:t xml:space="preserve"> about the likelihood of coastal flooding</w:t>
      </w:r>
      <w:r w:rsidR="00CC278C">
        <w:t>?</w:t>
      </w:r>
      <w:r>
        <w:t xml:space="preserve"> </w:t>
      </w:r>
    </w:p>
    <w:p w:rsidR="001F541A" w:rsidRDefault="00382B8D" w:rsidP="00382B8D">
      <w:pPr>
        <w:pStyle w:val="Maintextblack"/>
      </w:pPr>
      <w:r>
        <w:t>For significant widespread coastal flooding to occur</w:t>
      </w:r>
      <w:r w:rsidR="00A643F4">
        <w:t>,</w:t>
      </w:r>
      <w:r>
        <w:t xml:space="preserve"> </w:t>
      </w:r>
      <w:r w:rsidR="001F541A">
        <w:t xml:space="preserve">three things need to happen </w:t>
      </w:r>
    </w:p>
    <w:p w:rsidR="001F541A" w:rsidRDefault="001F541A" w:rsidP="001F541A">
      <w:pPr>
        <w:pStyle w:val="Bulletnumbered"/>
      </w:pPr>
      <w:r>
        <w:t xml:space="preserve">High astronomic tides </w:t>
      </w:r>
    </w:p>
    <w:p w:rsidR="001F541A" w:rsidRDefault="001F541A" w:rsidP="001F541A">
      <w:pPr>
        <w:pStyle w:val="Bulletnumbered"/>
      </w:pPr>
      <w:r>
        <w:t xml:space="preserve">Large storm generated coastal surge or waves arrive at the same time as high tide </w:t>
      </w:r>
    </w:p>
    <w:p w:rsidR="001F541A" w:rsidRDefault="001F541A" w:rsidP="001F541A">
      <w:pPr>
        <w:pStyle w:val="Bulletnumbered"/>
      </w:pPr>
      <w:r>
        <w:t xml:space="preserve">The combination of high tide plus surge and waves creates sea levels greater than the height of flood defences. </w:t>
      </w:r>
    </w:p>
    <w:p w:rsidR="001F541A" w:rsidRDefault="001F541A" w:rsidP="001F541A">
      <w:pPr>
        <w:pStyle w:val="Bulletnumbered"/>
        <w:numPr>
          <w:ilvl w:val="0"/>
          <w:numId w:val="0"/>
        </w:numPr>
        <w:ind w:left="357" w:hanging="357"/>
      </w:pPr>
      <w:r>
        <w:t xml:space="preserve">Significant flooding will not result if </w:t>
      </w:r>
    </w:p>
    <w:p w:rsidR="00382B8D" w:rsidRDefault="001F541A" w:rsidP="00382B8D">
      <w:pPr>
        <w:pStyle w:val="Bulletroundblack"/>
      </w:pPr>
      <w:r>
        <w:t xml:space="preserve">There </w:t>
      </w:r>
      <w:r w:rsidR="00382B8D">
        <w:t xml:space="preserve">are high astronomic tides without a large surge </w:t>
      </w:r>
      <w:r>
        <w:t>or waves</w:t>
      </w:r>
    </w:p>
    <w:p w:rsidR="00382B8D" w:rsidRDefault="001F541A" w:rsidP="00382B8D">
      <w:pPr>
        <w:pStyle w:val="Bulletroundblack"/>
      </w:pPr>
      <w:r>
        <w:t xml:space="preserve">There </w:t>
      </w:r>
      <w:r w:rsidR="00382B8D">
        <w:t>is a large surge</w:t>
      </w:r>
      <w:r>
        <w:t xml:space="preserve"> but this</w:t>
      </w:r>
      <w:r w:rsidR="00382B8D">
        <w:t xml:space="preserve"> </w:t>
      </w:r>
      <w:r>
        <w:t>occurs</w:t>
      </w:r>
      <w:r w:rsidR="00382B8D">
        <w:t xml:space="preserve"> at low tide. </w:t>
      </w:r>
    </w:p>
    <w:p w:rsidR="0050371D" w:rsidRDefault="00A643F4" w:rsidP="00382B8D">
      <w:pPr>
        <w:pStyle w:val="Maintextblack"/>
      </w:pPr>
      <w:r>
        <w:t>So to</w:t>
      </w:r>
      <w:r w:rsidR="0050371D">
        <w:t xml:space="preserve"> determine if</w:t>
      </w:r>
      <w:r>
        <w:t xml:space="preserve"> and where</w:t>
      </w:r>
      <w:r w:rsidR="0050371D">
        <w:t xml:space="preserve"> coastal flooding is likely to occur we need to know three </w:t>
      </w:r>
      <w:r w:rsidR="00F43F44">
        <w:t xml:space="preserve">factors </w:t>
      </w:r>
    </w:p>
    <w:p w:rsidR="0050371D" w:rsidRDefault="0050371D" w:rsidP="0050371D">
      <w:pPr>
        <w:pStyle w:val="Bulletroundblack"/>
      </w:pPr>
      <w:r>
        <w:t>The severity of the storm and the size of surge generated from it</w:t>
      </w:r>
    </w:p>
    <w:p w:rsidR="0050371D" w:rsidRDefault="0050371D" w:rsidP="0050371D">
      <w:pPr>
        <w:pStyle w:val="Bulletroundblack"/>
      </w:pPr>
      <w:r>
        <w:t xml:space="preserve">The timing of the storm surge in relation to high tide around the coastline </w:t>
      </w:r>
    </w:p>
    <w:p w:rsidR="0050371D" w:rsidRDefault="0050371D" w:rsidP="0050371D">
      <w:pPr>
        <w:pStyle w:val="Bulletroundblack"/>
      </w:pPr>
      <w:r>
        <w:t xml:space="preserve">The height of the astronomic tide at the time of the storm surge </w:t>
      </w:r>
    </w:p>
    <w:p w:rsidR="001F541A" w:rsidRDefault="001F541A" w:rsidP="00382B8D">
      <w:pPr>
        <w:pStyle w:val="Maintextblack"/>
      </w:pPr>
      <w:r>
        <w:t xml:space="preserve">We know what the astronomic tide will be years in advance. This is controlled by well known and predictable astronomic cycles and is published in tide tables. It is not possible to determine the severity and timing of a storm surge more than 6-7 days in advance of this occurring as this is controlled by the weather. </w:t>
      </w:r>
    </w:p>
    <w:p w:rsidR="001F541A" w:rsidRDefault="001F541A" w:rsidP="00382B8D">
      <w:pPr>
        <w:pStyle w:val="Maintextblack"/>
      </w:pPr>
      <w:r>
        <w:t xml:space="preserve">The number of </w:t>
      </w:r>
      <w:r w:rsidR="00A733CB">
        <w:t xml:space="preserve">notably high </w:t>
      </w:r>
      <w:r>
        <w:t xml:space="preserve">spring tides is above normal this </w:t>
      </w:r>
      <w:r w:rsidR="0038771B">
        <w:t>year</w:t>
      </w:r>
      <w:r w:rsidR="00A733CB">
        <w:t xml:space="preserve"> </w:t>
      </w:r>
      <w:r>
        <w:t>and therefore the likelihood o</w:t>
      </w:r>
      <w:r w:rsidR="005648F6">
        <w:t>f</w:t>
      </w:r>
      <w:r>
        <w:t xml:space="preserve"> a storm coinciding with a spring tide</w:t>
      </w:r>
      <w:r w:rsidR="00A733CB">
        <w:t xml:space="preserve"> and having a flood impact</w:t>
      </w:r>
      <w:r>
        <w:t xml:space="preserve"> is higher this year than a normal year. Should the</w:t>
      </w:r>
      <w:r w:rsidR="0038771B">
        <w:t>r</w:t>
      </w:r>
      <w:r>
        <w:t xml:space="preserve">e be an indication from Met Office seasonal forecasts that this </w:t>
      </w:r>
      <w:r w:rsidR="0038771B">
        <w:lastRenderedPageBreak/>
        <w:t>year</w:t>
      </w:r>
      <w:r>
        <w:t xml:space="preserve"> may see more storms than an average year, then this further increases the potential for a storm to coincide with a spring tide. </w:t>
      </w:r>
    </w:p>
    <w:p w:rsidR="001F0262" w:rsidRDefault="001F0262" w:rsidP="00382B8D">
      <w:pPr>
        <w:pStyle w:val="Maintextblack"/>
      </w:pPr>
      <w:r>
        <w:t>Seasonal long range forecasts provide some forward look as to the potential for increase</w:t>
      </w:r>
      <w:r w:rsidR="00A733CB">
        <w:t>d</w:t>
      </w:r>
      <w:r>
        <w:t xml:space="preserve"> storminess over the </w:t>
      </w:r>
      <w:r w:rsidR="0038771B">
        <w:t xml:space="preserve">coming months </w:t>
      </w:r>
      <w:r>
        <w:t xml:space="preserve">but they cannot provide the necessary details of the timing and severity of storms.  </w:t>
      </w:r>
    </w:p>
    <w:p w:rsidR="00BB65B8" w:rsidRPr="00BB65B8" w:rsidRDefault="00BB65B8" w:rsidP="00BB65B8">
      <w:pPr>
        <w:pStyle w:val="Mainheading"/>
      </w:pPr>
      <w:r w:rsidRPr="00BB65B8">
        <w:t>Update on our response and readiness</w:t>
      </w:r>
    </w:p>
    <w:p w:rsidR="00F43F44" w:rsidRDefault="00BB65B8" w:rsidP="00BB65B8">
      <w:pPr>
        <w:pStyle w:val="Maintextblack"/>
      </w:pPr>
      <w:r w:rsidRPr="00BB65B8">
        <w:t>In preparation for the high tide cycle we have updated our internal incident management procedures to build in learning from the</w:t>
      </w:r>
      <w:r w:rsidR="005648F6">
        <w:t xml:space="preserve"> previous</w:t>
      </w:r>
      <w:r w:rsidRPr="00BB65B8">
        <w:t xml:space="preserve"> winter floods</w:t>
      </w:r>
      <w:r w:rsidR="0038771B">
        <w:t xml:space="preserve"> of 2013 and 2014</w:t>
      </w:r>
      <w:r w:rsidRPr="00BB65B8">
        <w:t>. We have ensured that our incident management rosters are robust around the high tide periods</w:t>
      </w:r>
      <w:r w:rsidR="00CC278C">
        <w:t xml:space="preserve"> this year</w:t>
      </w:r>
      <w:r w:rsidRPr="00BB65B8">
        <w:t xml:space="preserve">. Additional training has been provided to </w:t>
      </w:r>
      <w:r w:rsidR="009A6328">
        <w:t>our flood incident management duty officers</w:t>
      </w:r>
      <w:r w:rsidR="00F43F44">
        <w:t xml:space="preserve"> within the Environment Agency and Flood Forecasting Centre</w:t>
      </w:r>
      <w:r w:rsidR="009A6328">
        <w:t xml:space="preserve"> and a series of winter readiness activities have been undertaken</w:t>
      </w:r>
      <w:r w:rsidR="00B50276">
        <w:t>. An internal desk top exercise t</w:t>
      </w:r>
      <w:r w:rsidR="0038771B">
        <w:t>ook</w:t>
      </w:r>
      <w:r w:rsidR="00B50276">
        <w:t xml:space="preserve"> place </w:t>
      </w:r>
      <w:r w:rsidR="0038771B">
        <w:t xml:space="preserve">in </w:t>
      </w:r>
      <w:r w:rsidR="00B50276">
        <w:t>October</w:t>
      </w:r>
      <w:r w:rsidR="009A6328">
        <w:t xml:space="preserve"> </w:t>
      </w:r>
      <w:r w:rsidR="0038771B">
        <w:t xml:space="preserve">2014 </w:t>
      </w:r>
      <w:r w:rsidR="009A6328">
        <w:t>to test</w:t>
      </w:r>
      <w:r w:rsidR="00B50276">
        <w:t xml:space="preserve"> revised</w:t>
      </w:r>
      <w:r w:rsidR="009A6328">
        <w:t xml:space="preserve"> procedures and communications</w:t>
      </w:r>
      <w:r w:rsidR="00D155F3">
        <w:t xml:space="preserve">. </w:t>
      </w:r>
      <w:r w:rsidR="0038771B">
        <w:t>Lessons have been identified and measure</w:t>
      </w:r>
      <w:r w:rsidR="003B6652">
        <w:t>s</w:t>
      </w:r>
      <w:r w:rsidR="0038771B">
        <w:t xml:space="preserve"> put in place to address them to improve our response to the elevated flood risk posed by </w:t>
      </w:r>
      <w:r w:rsidR="005B21DA">
        <w:t>the notably high spring tides.</w:t>
      </w:r>
    </w:p>
    <w:p w:rsidR="00BB65B8" w:rsidRPr="00BB65B8" w:rsidRDefault="00D155F3" w:rsidP="00BB65B8">
      <w:pPr>
        <w:pStyle w:val="Maintextblack"/>
      </w:pPr>
      <w:r>
        <w:t xml:space="preserve">We have also been able to take advantage of improvements in the Met Office weather forecasts to update our surge model so that it provides improved forecast accuracy in the day 3-6 forecast period. </w:t>
      </w:r>
    </w:p>
    <w:p w:rsidR="00BB65B8" w:rsidRPr="00BB65B8" w:rsidRDefault="00BB65B8" w:rsidP="00BB65B8">
      <w:pPr>
        <w:pStyle w:val="Maintextblack"/>
      </w:pPr>
      <w:r w:rsidRPr="00BB65B8">
        <w:t xml:space="preserve">Our local Flood Resilience teams have briefed all Local Resilience Forums on the risk and dates of notable tides to ensure our partners are well briefed and </w:t>
      </w:r>
      <w:r w:rsidR="009A6328">
        <w:t xml:space="preserve">prepared. </w:t>
      </w:r>
    </w:p>
    <w:p w:rsidR="005B21DA" w:rsidRDefault="005B21DA" w:rsidP="00F43F44">
      <w:pPr>
        <w:pStyle w:val="Maintextblack"/>
      </w:pPr>
    </w:p>
    <w:p w:rsidR="005B21DA" w:rsidRDefault="005B21DA" w:rsidP="00F43F44">
      <w:pPr>
        <w:pStyle w:val="Maintextblack"/>
      </w:pPr>
    </w:p>
    <w:p w:rsidR="008C1103" w:rsidRDefault="008C1103" w:rsidP="00F43F44">
      <w:pPr>
        <w:pStyle w:val="Maintextblack"/>
      </w:pPr>
    </w:p>
    <w:p w:rsidR="008C1103" w:rsidRDefault="008C1103" w:rsidP="00F43F44">
      <w:pPr>
        <w:pStyle w:val="Maintextblack"/>
      </w:pPr>
    </w:p>
    <w:p w:rsidR="00BB65B8" w:rsidRDefault="009A6328" w:rsidP="00F43F44">
      <w:pPr>
        <w:pStyle w:val="Maintextblack"/>
      </w:pPr>
      <w:r>
        <w:t xml:space="preserve"> </w:t>
      </w:r>
      <w:r w:rsidR="00BB65B8" w:rsidRPr="00BB65B8">
        <w:t xml:space="preserve"> </w:t>
      </w:r>
    </w:p>
    <w:p w:rsidR="00B50276" w:rsidRDefault="00B50276" w:rsidP="00A41F55">
      <w:pPr>
        <w:pStyle w:val="Secondheading"/>
      </w:pPr>
    </w:p>
    <w:p w:rsidR="00A41F55" w:rsidRDefault="00A41F55" w:rsidP="00A41F55">
      <w:pPr>
        <w:pStyle w:val="Secondheading"/>
      </w:pPr>
      <w:r>
        <w:t xml:space="preserve">Annex 1 </w:t>
      </w:r>
    </w:p>
    <w:p w:rsidR="00A41F55" w:rsidRDefault="00A41F55" w:rsidP="00A41F55">
      <w:pPr>
        <w:pStyle w:val="Secondheading"/>
      </w:pPr>
      <w:r>
        <w:t xml:space="preserve">Comparison of actual December 2013 levels with expected astronomic tides on high spring tides </w:t>
      </w:r>
    </w:p>
    <w:p w:rsidR="00A41F55" w:rsidRDefault="00A41F55" w:rsidP="00A41F55">
      <w:pPr>
        <w:pStyle w:val="DocumentDescription"/>
      </w:pPr>
    </w:p>
    <w:p w:rsidR="00A41F55" w:rsidRDefault="00A41F55" w:rsidP="00A41F55">
      <w:pPr>
        <w:pStyle w:val="Maintextblack"/>
      </w:pPr>
      <w:r>
        <w:t>T</w:t>
      </w:r>
      <w:r w:rsidRPr="00FE3B4E">
        <w:t xml:space="preserve">he table below shows the astronomic </w:t>
      </w:r>
      <w:r>
        <w:t xml:space="preserve">high </w:t>
      </w:r>
      <w:r w:rsidRPr="00FE3B4E">
        <w:t>tide</w:t>
      </w:r>
      <w:r w:rsidR="00513B54">
        <w:t xml:space="preserve"> levels </w:t>
      </w:r>
      <w:r w:rsidRPr="00FE3B4E">
        <w:t xml:space="preserve">and peak water levels for the </w:t>
      </w:r>
      <w:r w:rsidR="003B6652">
        <w:t xml:space="preserve">surge of </w:t>
      </w:r>
      <w:r w:rsidRPr="00FE3B4E">
        <w:t>5th December</w:t>
      </w:r>
      <w:r>
        <w:t xml:space="preserve"> 2013 for key locations along the east and north-west coast of England</w:t>
      </w:r>
      <w:r w:rsidRPr="00FE3B4E">
        <w:t xml:space="preserve">. </w:t>
      </w:r>
      <w:r>
        <w:t>T</w:t>
      </w:r>
      <w:r w:rsidRPr="00FE3B4E">
        <w:t xml:space="preserve">hese levels </w:t>
      </w:r>
      <w:r>
        <w:t>are compared to the predicted</w:t>
      </w:r>
      <w:r w:rsidRPr="00FE3B4E">
        <w:t xml:space="preserve"> astronomic </w:t>
      </w:r>
      <w:r>
        <w:t xml:space="preserve">high tides that will occur </w:t>
      </w:r>
      <w:r w:rsidR="0076680C">
        <w:t>during 20</w:t>
      </w:r>
      <w:r>
        <w:t xml:space="preserve">15. </w:t>
      </w:r>
    </w:p>
    <w:p w:rsidR="00892DED" w:rsidRDefault="00892DED" w:rsidP="00892DED">
      <w:pPr>
        <w:pStyle w:val="Maintextblack"/>
      </w:pPr>
      <w:r>
        <w:lastRenderedPageBreak/>
        <w:t xml:space="preserve">The astronomic tide heights expected this year are significantly higher than those of the 5th December 2013. This therefore means that the level of surge required is lower than that generated on the 5th December to give the same overall peak high water level.  </w:t>
      </w:r>
    </w:p>
    <w:p w:rsidR="00A41F55" w:rsidRDefault="00A41F55" w:rsidP="00A41F55">
      <w:pPr>
        <w:pStyle w:val="Maintextblack"/>
      </w:pPr>
      <w:r>
        <w:t>The level of surge</w:t>
      </w:r>
      <w:r w:rsidR="0027385E">
        <w:t xml:space="preserve"> at the time of </w:t>
      </w:r>
      <w:r w:rsidR="00892DED">
        <w:t xml:space="preserve">each of the </w:t>
      </w:r>
      <w:r w:rsidR="0027385E">
        <w:t xml:space="preserve">high </w:t>
      </w:r>
      <w:r w:rsidR="00892DED">
        <w:t xml:space="preserve">spring </w:t>
      </w:r>
      <w:r w:rsidR="0027385E">
        <w:t>tide</w:t>
      </w:r>
      <w:r w:rsidR="00892DED">
        <w:t>s</w:t>
      </w:r>
      <w:r>
        <w:t xml:space="preserve"> required to reach the same total peak water level at each location as the 5th December flooding is the value given in brackets below the astronomic tide value. </w:t>
      </w:r>
    </w:p>
    <w:p w:rsidR="00513B54" w:rsidRDefault="00513B54" w:rsidP="00513B54">
      <w:pPr>
        <w:pStyle w:val="Maintextblack"/>
      </w:pPr>
      <w:r>
        <w:t>These strategic locations are used as indicator sites of the flood risk to stretches of coastline when using long range forecasts. The indicative levels of the onset of flooding are shown in the table to provide an understanding of the level of additional weather generated surge that would be required during each spring tide period for flooding to occur. It should be noted that these levels are the point at which flooding starts, reaching these levels does not necessarily mean that widespread flooding will occur, but some flooding could be expected.  There are many other factors which will influence the actual onset of flooding along with coastal surge, such as wave height and wind direction at the time of the high tide.</w:t>
      </w:r>
    </w:p>
    <w:p w:rsidR="00513B54" w:rsidRPr="00FE3B4E" w:rsidRDefault="00513B54" w:rsidP="00A41F55">
      <w:pPr>
        <w:pStyle w:val="Maintextblack"/>
      </w:pPr>
    </w:p>
    <w:p w:rsidR="00A41F55" w:rsidRDefault="00A41F55" w:rsidP="00A41F55">
      <w:pPr>
        <w:pStyle w:val="DocumentDescription"/>
      </w:pPr>
    </w:p>
    <w:tbl>
      <w:tblPr>
        <w:tblW w:w="0" w:type="auto"/>
        <w:tblBorders>
          <w:top w:val="single" w:sz="4" w:space="0" w:color="034B89"/>
          <w:left w:val="single" w:sz="4" w:space="0" w:color="034B89"/>
          <w:bottom w:val="single" w:sz="4" w:space="0" w:color="034B89"/>
          <w:right w:val="single" w:sz="4" w:space="0" w:color="034B89"/>
          <w:insideH w:val="single" w:sz="4" w:space="0" w:color="034B89"/>
          <w:insideV w:val="single" w:sz="4" w:space="0" w:color="034B89"/>
        </w:tblBorders>
        <w:tblLayout w:type="fixed"/>
        <w:tblCellMar>
          <w:left w:w="0" w:type="dxa"/>
          <w:right w:w="0" w:type="dxa"/>
        </w:tblCellMar>
        <w:tblLook w:val="04A0" w:firstRow="1" w:lastRow="0" w:firstColumn="1" w:lastColumn="0" w:noHBand="0" w:noVBand="1"/>
      </w:tblPr>
      <w:tblGrid>
        <w:gridCol w:w="1429"/>
        <w:gridCol w:w="1489"/>
        <w:gridCol w:w="1056"/>
        <w:gridCol w:w="1134"/>
        <w:gridCol w:w="851"/>
        <w:gridCol w:w="850"/>
        <w:gridCol w:w="993"/>
        <w:gridCol w:w="850"/>
        <w:gridCol w:w="948"/>
        <w:gridCol w:w="835"/>
      </w:tblGrid>
      <w:tr w:rsidR="00513B54" w:rsidTr="00513B54">
        <w:tc>
          <w:tcPr>
            <w:tcW w:w="1429" w:type="dxa"/>
            <w:tcBorders>
              <w:right w:val="single" w:sz="4" w:space="0" w:color="FFFFFF"/>
            </w:tcBorders>
            <w:shd w:val="clear" w:color="auto" w:fill="034B89"/>
          </w:tcPr>
          <w:p w:rsidR="00513B54" w:rsidRPr="008A0D57" w:rsidRDefault="00513B54" w:rsidP="008A0D57">
            <w:pPr>
              <w:pStyle w:val="Maintextblack"/>
              <w:ind w:left="85" w:right="85"/>
              <w:rPr>
                <w:b/>
              </w:rPr>
            </w:pPr>
          </w:p>
        </w:tc>
        <w:tc>
          <w:tcPr>
            <w:tcW w:w="1489" w:type="dxa"/>
            <w:tcBorders>
              <w:left w:val="single" w:sz="4" w:space="0" w:color="FFFFFF"/>
              <w:right w:val="single" w:sz="4" w:space="0" w:color="FFFFFF"/>
            </w:tcBorders>
            <w:shd w:val="clear" w:color="auto" w:fill="034B89"/>
          </w:tcPr>
          <w:p w:rsidR="00513B54" w:rsidRPr="008A0D57" w:rsidRDefault="00513B54" w:rsidP="008A0D57">
            <w:pPr>
              <w:pStyle w:val="Maintextblack"/>
              <w:ind w:left="85" w:right="85"/>
              <w:rPr>
                <w:b/>
              </w:rPr>
            </w:pPr>
            <w:r w:rsidRPr="008A0D57">
              <w:rPr>
                <w:b/>
              </w:rPr>
              <w:t xml:space="preserve">Astronomic tide height </w:t>
            </w:r>
          </w:p>
        </w:tc>
        <w:tc>
          <w:tcPr>
            <w:tcW w:w="1056" w:type="dxa"/>
            <w:tcBorders>
              <w:left w:val="single" w:sz="4" w:space="0" w:color="FFFFFF"/>
              <w:right w:val="single" w:sz="4" w:space="0" w:color="FFFFFF"/>
            </w:tcBorders>
            <w:shd w:val="clear" w:color="auto" w:fill="034B89"/>
          </w:tcPr>
          <w:p w:rsidR="00513B54" w:rsidRPr="008A0D57" w:rsidRDefault="00513B54" w:rsidP="008A0D57">
            <w:pPr>
              <w:pStyle w:val="Maintextblack"/>
              <w:ind w:left="85" w:right="85"/>
              <w:rPr>
                <w:b/>
              </w:rPr>
            </w:pPr>
            <w:r w:rsidRPr="008A0D57">
              <w:rPr>
                <w:b/>
              </w:rPr>
              <w:t xml:space="preserve">Peak high water  level (surge) </w:t>
            </w:r>
          </w:p>
        </w:tc>
        <w:tc>
          <w:tcPr>
            <w:tcW w:w="1134" w:type="dxa"/>
            <w:tcBorders>
              <w:left w:val="single" w:sz="4" w:space="0" w:color="FFFFFF"/>
              <w:right w:val="single" w:sz="4" w:space="0" w:color="FFFFFF"/>
            </w:tcBorders>
            <w:shd w:val="clear" w:color="auto" w:fill="034B89"/>
          </w:tcPr>
          <w:p w:rsidR="00513B54" w:rsidRPr="008A0D57" w:rsidRDefault="00513B54" w:rsidP="00B33CD9">
            <w:pPr>
              <w:pStyle w:val="Maintextblack"/>
              <w:rPr>
                <w:b/>
              </w:rPr>
            </w:pPr>
            <w:r>
              <w:t>In</w:t>
            </w:r>
            <w:r w:rsidRPr="00B33CD9">
              <w:t>dicative Level at which flooding starts</w:t>
            </w:r>
          </w:p>
        </w:tc>
        <w:tc>
          <w:tcPr>
            <w:tcW w:w="5327" w:type="dxa"/>
            <w:gridSpan w:val="6"/>
            <w:tcBorders>
              <w:left w:val="single" w:sz="4" w:space="0" w:color="FFFFFF"/>
            </w:tcBorders>
            <w:shd w:val="clear" w:color="auto" w:fill="034B89"/>
          </w:tcPr>
          <w:p w:rsidR="00513B54" w:rsidRPr="008A0D57" w:rsidRDefault="00513B54" w:rsidP="008A0D57">
            <w:pPr>
              <w:pStyle w:val="Maintextblack"/>
              <w:ind w:left="85" w:right="85"/>
              <w:rPr>
                <w:b/>
              </w:rPr>
            </w:pPr>
            <w:r w:rsidRPr="008A0D57">
              <w:rPr>
                <w:b/>
              </w:rPr>
              <w:t>Maximum astronomic spring tide height over the risk period (and difference, in brackets, from total peak tidal level of December 2015)</w:t>
            </w:r>
          </w:p>
          <w:p w:rsidR="00513B54" w:rsidRPr="008A0D57" w:rsidRDefault="00513B54" w:rsidP="008A0D57">
            <w:pPr>
              <w:pStyle w:val="Maintextblack"/>
              <w:ind w:left="85" w:right="85"/>
              <w:rPr>
                <w:rStyle w:val="Italicblack"/>
                <w:b/>
              </w:rPr>
            </w:pPr>
          </w:p>
        </w:tc>
      </w:tr>
      <w:tr w:rsidR="00513B54" w:rsidTr="00513B54">
        <w:tc>
          <w:tcPr>
            <w:tcW w:w="1429" w:type="dxa"/>
          </w:tcPr>
          <w:p w:rsidR="00513B54" w:rsidRPr="008A0D57" w:rsidRDefault="00513B54" w:rsidP="008A0D57">
            <w:pPr>
              <w:pStyle w:val="Maintextblack"/>
              <w:ind w:left="85" w:right="85"/>
              <w:rPr>
                <w:b/>
              </w:rPr>
            </w:pPr>
            <w:r w:rsidRPr="008A0D57">
              <w:rPr>
                <w:b/>
              </w:rPr>
              <w:t xml:space="preserve">Site </w:t>
            </w:r>
          </w:p>
        </w:tc>
        <w:tc>
          <w:tcPr>
            <w:tcW w:w="2545" w:type="dxa"/>
            <w:gridSpan w:val="2"/>
          </w:tcPr>
          <w:p w:rsidR="00513B54" w:rsidRPr="008C1103" w:rsidRDefault="00513B54" w:rsidP="008A0D57">
            <w:pPr>
              <w:pStyle w:val="Maintextblack"/>
              <w:ind w:left="85" w:right="85"/>
            </w:pPr>
            <w:r>
              <w:t>5th December 2013</w:t>
            </w:r>
          </w:p>
        </w:tc>
        <w:tc>
          <w:tcPr>
            <w:tcW w:w="1134" w:type="dxa"/>
          </w:tcPr>
          <w:p w:rsidR="00513B54" w:rsidRDefault="00513B54" w:rsidP="00513B54">
            <w:pPr>
              <w:pStyle w:val="Maintextblack"/>
              <w:ind w:left="85" w:right="85"/>
            </w:pPr>
          </w:p>
        </w:tc>
        <w:tc>
          <w:tcPr>
            <w:tcW w:w="851" w:type="dxa"/>
          </w:tcPr>
          <w:p w:rsidR="00513B54" w:rsidRPr="008C1103" w:rsidRDefault="00513B54" w:rsidP="00513B54">
            <w:pPr>
              <w:pStyle w:val="Maintextblack"/>
              <w:ind w:left="85" w:right="85"/>
            </w:pPr>
            <w:r>
              <w:t>20</w:t>
            </w:r>
            <w:r w:rsidRPr="008C1103">
              <w:t xml:space="preserve"> -23 March 2015</w:t>
            </w:r>
          </w:p>
        </w:tc>
        <w:tc>
          <w:tcPr>
            <w:tcW w:w="850" w:type="dxa"/>
          </w:tcPr>
          <w:p w:rsidR="00513B54" w:rsidRPr="008C1103" w:rsidRDefault="00513B54" w:rsidP="00513B54">
            <w:pPr>
              <w:pStyle w:val="Maintextblack"/>
              <w:ind w:left="85" w:right="85"/>
            </w:pPr>
            <w:r>
              <w:t>19</w:t>
            </w:r>
            <w:r w:rsidRPr="008C1103">
              <w:t>- 21 Apr</w:t>
            </w:r>
            <w:r>
              <w:t>il</w:t>
            </w:r>
            <w:r w:rsidRPr="008C1103">
              <w:t xml:space="preserve"> 2015</w:t>
            </w:r>
          </w:p>
        </w:tc>
        <w:tc>
          <w:tcPr>
            <w:tcW w:w="993" w:type="dxa"/>
          </w:tcPr>
          <w:p w:rsidR="00513B54" w:rsidRDefault="00513B54" w:rsidP="008A0D57">
            <w:pPr>
              <w:pStyle w:val="Maintextblack"/>
              <w:ind w:left="85" w:right="85"/>
            </w:pPr>
            <w:r>
              <w:t>Aug 30-  Sept 2</w:t>
            </w:r>
          </w:p>
          <w:p w:rsidR="00513B54" w:rsidRPr="008C1103" w:rsidRDefault="00513B54" w:rsidP="008A0D57">
            <w:pPr>
              <w:pStyle w:val="Maintextblack"/>
              <w:ind w:left="85" w:right="85"/>
            </w:pPr>
            <w:r>
              <w:t>2015</w:t>
            </w:r>
          </w:p>
        </w:tc>
        <w:tc>
          <w:tcPr>
            <w:tcW w:w="850" w:type="dxa"/>
          </w:tcPr>
          <w:p w:rsidR="00513B54" w:rsidRDefault="00513B54" w:rsidP="008A0D57">
            <w:pPr>
              <w:pStyle w:val="Bulletroundblack"/>
              <w:numPr>
                <w:ilvl w:val="0"/>
                <w:numId w:val="0"/>
              </w:numPr>
              <w:ind w:left="357" w:right="85" w:hanging="357"/>
            </w:pPr>
            <w:r>
              <w:t>27- 30</w:t>
            </w:r>
          </w:p>
          <w:p w:rsidR="00513B54" w:rsidRDefault="00513B54" w:rsidP="008A0D57">
            <w:pPr>
              <w:pStyle w:val="Bulletroundblack"/>
              <w:numPr>
                <w:ilvl w:val="0"/>
                <w:numId w:val="0"/>
              </w:numPr>
              <w:ind w:left="357" w:right="85" w:hanging="357"/>
            </w:pPr>
            <w:r>
              <w:t>Sept</w:t>
            </w:r>
          </w:p>
          <w:p w:rsidR="00513B54" w:rsidRPr="008C1103" w:rsidRDefault="00513B54" w:rsidP="008A0D57">
            <w:pPr>
              <w:pStyle w:val="Bulletroundblack"/>
              <w:numPr>
                <w:ilvl w:val="0"/>
                <w:numId w:val="0"/>
              </w:numPr>
              <w:ind w:left="357" w:right="85" w:hanging="357"/>
            </w:pPr>
            <w:r>
              <w:t>2015</w:t>
            </w:r>
          </w:p>
        </w:tc>
        <w:tc>
          <w:tcPr>
            <w:tcW w:w="948" w:type="dxa"/>
          </w:tcPr>
          <w:p w:rsidR="00513B54" w:rsidRDefault="00513B54" w:rsidP="008A0D57">
            <w:pPr>
              <w:pStyle w:val="Maintextblack"/>
              <w:ind w:left="85" w:right="85"/>
            </w:pPr>
            <w:r>
              <w:t>27-30</w:t>
            </w:r>
          </w:p>
          <w:p w:rsidR="00513B54" w:rsidRPr="008C1103" w:rsidRDefault="00513B54" w:rsidP="008A0D57">
            <w:pPr>
              <w:pStyle w:val="Maintextblack"/>
              <w:ind w:left="85" w:right="85"/>
            </w:pPr>
            <w:r>
              <w:t>Oct  2015</w:t>
            </w:r>
          </w:p>
        </w:tc>
        <w:tc>
          <w:tcPr>
            <w:tcW w:w="835" w:type="dxa"/>
          </w:tcPr>
          <w:p w:rsidR="00513B54" w:rsidRDefault="00513B54" w:rsidP="008A0D57">
            <w:pPr>
              <w:pStyle w:val="Maintextblack"/>
              <w:ind w:left="85" w:right="85"/>
            </w:pPr>
            <w:r>
              <w:t>25-27</w:t>
            </w:r>
          </w:p>
          <w:p w:rsidR="00513B54" w:rsidRPr="008C1103" w:rsidRDefault="00513B54" w:rsidP="008A0D57">
            <w:pPr>
              <w:pStyle w:val="Maintextblack"/>
              <w:ind w:left="85" w:right="85"/>
            </w:pPr>
            <w:r>
              <w:t>Dec 2015</w:t>
            </w:r>
          </w:p>
        </w:tc>
      </w:tr>
      <w:tr w:rsidR="00513B54" w:rsidTr="00513B54">
        <w:tc>
          <w:tcPr>
            <w:tcW w:w="1429" w:type="dxa"/>
            <w:shd w:val="clear" w:color="auto" w:fill="DCF1FA"/>
          </w:tcPr>
          <w:p w:rsidR="00513B54" w:rsidRPr="00513B54" w:rsidRDefault="00513B54" w:rsidP="00513B54">
            <w:pPr>
              <w:pStyle w:val="Maintextblack"/>
            </w:pPr>
            <w:r w:rsidRPr="00513B54">
              <w:t xml:space="preserve">North Shields </w:t>
            </w:r>
          </w:p>
        </w:tc>
        <w:tc>
          <w:tcPr>
            <w:tcW w:w="1489" w:type="dxa"/>
            <w:shd w:val="clear" w:color="auto" w:fill="DCF1FA"/>
          </w:tcPr>
          <w:p w:rsidR="00513B54" w:rsidRDefault="00513B54" w:rsidP="00513B54">
            <w:pPr>
              <w:pStyle w:val="Maintextblack"/>
            </w:pPr>
            <w:r>
              <w:t>2.79</w:t>
            </w:r>
          </w:p>
        </w:tc>
        <w:tc>
          <w:tcPr>
            <w:tcW w:w="1056" w:type="dxa"/>
            <w:shd w:val="clear" w:color="auto" w:fill="DCF1FA"/>
          </w:tcPr>
          <w:p w:rsidR="00513B54" w:rsidRDefault="00513B54" w:rsidP="00513B54">
            <w:pPr>
              <w:pStyle w:val="Maintextblack"/>
            </w:pPr>
            <w:r>
              <w:t>3.79</w:t>
            </w:r>
          </w:p>
          <w:p w:rsidR="00513B54" w:rsidRPr="0027385E" w:rsidRDefault="00513B54" w:rsidP="00513B54">
            <w:pPr>
              <w:pStyle w:val="Maintextblack"/>
              <w:rPr>
                <w:rStyle w:val="Italicpurple"/>
              </w:rPr>
            </w:pPr>
            <w:r w:rsidRPr="0027385E">
              <w:rPr>
                <w:rStyle w:val="Italicpurple"/>
              </w:rPr>
              <w:t xml:space="preserve">(1.0) </w:t>
            </w:r>
          </w:p>
        </w:tc>
        <w:tc>
          <w:tcPr>
            <w:tcW w:w="1134" w:type="dxa"/>
            <w:shd w:val="clear" w:color="auto" w:fill="DCF1FA"/>
          </w:tcPr>
          <w:p w:rsidR="00513B54" w:rsidRPr="00513B54" w:rsidRDefault="00513B54" w:rsidP="00513B54">
            <w:pPr>
              <w:pStyle w:val="Maintextblack"/>
              <w:rPr>
                <w:rStyle w:val="Italicpurple"/>
              </w:rPr>
            </w:pPr>
            <w:r w:rsidRPr="005B21DA">
              <w:rPr>
                <w:rStyle w:val="Italicpurple"/>
              </w:rPr>
              <w:t>3.4</w:t>
            </w:r>
            <w:r w:rsidRPr="00513B54">
              <w:rPr>
                <w:rStyle w:val="Italicpurple"/>
              </w:rPr>
              <w:t xml:space="preserve"> </w:t>
            </w:r>
          </w:p>
        </w:tc>
        <w:tc>
          <w:tcPr>
            <w:tcW w:w="851" w:type="dxa"/>
            <w:shd w:val="clear" w:color="auto" w:fill="DCF1FA"/>
          </w:tcPr>
          <w:p w:rsidR="00513B54" w:rsidRDefault="00513B54" w:rsidP="00513B54">
            <w:pPr>
              <w:pStyle w:val="Maintextblack"/>
            </w:pPr>
            <w:r>
              <w:t>3.01</w:t>
            </w:r>
          </w:p>
          <w:p w:rsidR="00513B54" w:rsidRPr="0027385E" w:rsidRDefault="00513B54" w:rsidP="00513B54">
            <w:pPr>
              <w:pStyle w:val="Maintextblack"/>
              <w:rPr>
                <w:rStyle w:val="Italicpurple"/>
              </w:rPr>
            </w:pPr>
            <w:r w:rsidRPr="0027385E">
              <w:rPr>
                <w:rStyle w:val="Italicpurple"/>
              </w:rPr>
              <w:t>(0.78)</w:t>
            </w:r>
          </w:p>
        </w:tc>
        <w:tc>
          <w:tcPr>
            <w:tcW w:w="850" w:type="dxa"/>
            <w:shd w:val="clear" w:color="auto" w:fill="DCF1FA"/>
          </w:tcPr>
          <w:p w:rsidR="00513B54" w:rsidRPr="00513B54" w:rsidRDefault="00513B54" w:rsidP="00513B54">
            <w:pPr>
              <w:pStyle w:val="Maintextblack"/>
            </w:pPr>
            <w:r>
              <w:t>2.88</w:t>
            </w:r>
          </w:p>
          <w:p w:rsidR="00513B54" w:rsidRPr="0027385E" w:rsidRDefault="00513B54" w:rsidP="00513B54">
            <w:pPr>
              <w:pStyle w:val="Maintextblack"/>
              <w:rPr>
                <w:rStyle w:val="Italicpurple"/>
              </w:rPr>
            </w:pPr>
            <w:r w:rsidRPr="0027385E">
              <w:rPr>
                <w:rStyle w:val="Italicpurple"/>
              </w:rPr>
              <w:t xml:space="preserve">(0.91) </w:t>
            </w:r>
          </w:p>
        </w:tc>
        <w:tc>
          <w:tcPr>
            <w:tcW w:w="993" w:type="dxa"/>
            <w:shd w:val="clear" w:color="auto" w:fill="DCF1FA"/>
          </w:tcPr>
          <w:p w:rsidR="00513B54" w:rsidRPr="00513B54" w:rsidRDefault="00513B54" w:rsidP="00513B54">
            <w:pPr>
              <w:pStyle w:val="Maintextblack"/>
            </w:pPr>
            <w:r>
              <w:t>3.11</w:t>
            </w:r>
          </w:p>
          <w:p w:rsidR="00513B54" w:rsidRPr="00513B54" w:rsidRDefault="00513B54" w:rsidP="00513B54">
            <w:pPr>
              <w:pStyle w:val="Maintextblack"/>
              <w:rPr>
                <w:rStyle w:val="Italicpurple"/>
              </w:rPr>
            </w:pPr>
            <w:r>
              <w:rPr>
                <w:rStyle w:val="Italicpurple"/>
              </w:rPr>
              <w:t>(</w:t>
            </w:r>
            <w:r w:rsidRPr="00513B54">
              <w:rPr>
                <w:rStyle w:val="Italicpurple"/>
              </w:rPr>
              <w:t>0.68)</w:t>
            </w:r>
          </w:p>
        </w:tc>
        <w:tc>
          <w:tcPr>
            <w:tcW w:w="850" w:type="dxa"/>
            <w:shd w:val="clear" w:color="auto" w:fill="DCF1FA"/>
          </w:tcPr>
          <w:p w:rsidR="00513B54" w:rsidRPr="00513B54" w:rsidRDefault="00513B54" w:rsidP="00513B54">
            <w:pPr>
              <w:pStyle w:val="Maintextblack"/>
            </w:pPr>
            <w:r>
              <w:t>3.16</w:t>
            </w:r>
          </w:p>
          <w:p w:rsidR="00513B54" w:rsidRPr="00513B54" w:rsidRDefault="00513B54" w:rsidP="00513B54">
            <w:pPr>
              <w:pStyle w:val="Maintextblack"/>
              <w:rPr>
                <w:rStyle w:val="Italicpurple"/>
              </w:rPr>
            </w:pPr>
            <w:r>
              <w:rPr>
                <w:rStyle w:val="Italicpurple"/>
              </w:rPr>
              <w:t>(0.63)</w:t>
            </w:r>
          </w:p>
        </w:tc>
        <w:tc>
          <w:tcPr>
            <w:tcW w:w="948" w:type="dxa"/>
            <w:shd w:val="clear" w:color="auto" w:fill="DCF1FA"/>
          </w:tcPr>
          <w:p w:rsidR="00513B54" w:rsidRPr="00513B54" w:rsidRDefault="00513B54" w:rsidP="00513B54">
            <w:pPr>
              <w:pStyle w:val="Maintextblack"/>
            </w:pPr>
            <w:r>
              <w:t>3.06</w:t>
            </w:r>
          </w:p>
          <w:p w:rsidR="00513B54" w:rsidRPr="00513B54" w:rsidRDefault="00513B54" w:rsidP="00513B54">
            <w:pPr>
              <w:pStyle w:val="Maintextblack"/>
              <w:rPr>
                <w:rStyle w:val="Italicpurple"/>
              </w:rPr>
            </w:pPr>
            <w:r>
              <w:rPr>
                <w:rStyle w:val="Italicpurple"/>
              </w:rPr>
              <w:t>(0.73)</w:t>
            </w:r>
          </w:p>
        </w:tc>
        <w:tc>
          <w:tcPr>
            <w:tcW w:w="835" w:type="dxa"/>
            <w:shd w:val="clear" w:color="auto" w:fill="DCF1FA"/>
          </w:tcPr>
          <w:p w:rsidR="00513B54" w:rsidRPr="00513B54" w:rsidRDefault="00513B54" w:rsidP="00513B54">
            <w:pPr>
              <w:pStyle w:val="Maintextblack"/>
            </w:pPr>
            <w:r>
              <w:t>2.67</w:t>
            </w:r>
          </w:p>
          <w:p w:rsidR="00513B54" w:rsidRPr="00513B54" w:rsidRDefault="00513B54" w:rsidP="00513B54">
            <w:pPr>
              <w:pStyle w:val="Maintextblack"/>
              <w:rPr>
                <w:rStyle w:val="Italicpurple"/>
              </w:rPr>
            </w:pPr>
            <w:r>
              <w:rPr>
                <w:rStyle w:val="Italicpurple"/>
              </w:rPr>
              <w:t>(1</w:t>
            </w:r>
            <w:r w:rsidRPr="00513B54">
              <w:rPr>
                <w:rStyle w:val="Italicpurple"/>
              </w:rPr>
              <w:t>.12)</w:t>
            </w:r>
          </w:p>
        </w:tc>
      </w:tr>
      <w:tr w:rsidR="00513B54" w:rsidTr="00513B54">
        <w:tc>
          <w:tcPr>
            <w:tcW w:w="1429" w:type="dxa"/>
          </w:tcPr>
          <w:p w:rsidR="00513B54" w:rsidRPr="00513B54" w:rsidRDefault="00513B54" w:rsidP="00513B54">
            <w:pPr>
              <w:pStyle w:val="Maintextblack"/>
            </w:pPr>
            <w:r w:rsidRPr="00513B54">
              <w:t>Immingham</w:t>
            </w:r>
          </w:p>
        </w:tc>
        <w:tc>
          <w:tcPr>
            <w:tcW w:w="1489" w:type="dxa"/>
          </w:tcPr>
          <w:p w:rsidR="00513B54" w:rsidRDefault="00513B54" w:rsidP="00513B54">
            <w:pPr>
              <w:pStyle w:val="Maintextblack"/>
            </w:pPr>
            <w:r>
              <w:t>3.61</w:t>
            </w:r>
          </w:p>
        </w:tc>
        <w:tc>
          <w:tcPr>
            <w:tcW w:w="1056" w:type="dxa"/>
          </w:tcPr>
          <w:p w:rsidR="00513B54" w:rsidRDefault="00513B54" w:rsidP="00513B54">
            <w:pPr>
              <w:pStyle w:val="Maintextblack"/>
            </w:pPr>
            <w:r>
              <w:t>5.22</w:t>
            </w:r>
          </w:p>
          <w:p w:rsidR="00513B54" w:rsidRPr="0027385E" w:rsidRDefault="00513B54" w:rsidP="00513B54">
            <w:pPr>
              <w:pStyle w:val="Maintextblack"/>
              <w:rPr>
                <w:rStyle w:val="Italicpurple"/>
              </w:rPr>
            </w:pPr>
            <w:r w:rsidRPr="0027385E">
              <w:rPr>
                <w:rStyle w:val="Italicpurple"/>
              </w:rPr>
              <w:t>(1.61)</w:t>
            </w:r>
          </w:p>
        </w:tc>
        <w:tc>
          <w:tcPr>
            <w:tcW w:w="1134" w:type="dxa"/>
          </w:tcPr>
          <w:p w:rsidR="00513B54" w:rsidRPr="00513B54" w:rsidRDefault="00513B54" w:rsidP="00513B54">
            <w:pPr>
              <w:pStyle w:val="Maintextblack"/>
              <w:rPr>
                <w:rStyle w:val="Italicpurple"/>
              </w:rPr>
            </w:pPr>
            <w:r w:rsidRPr="005B21DA">
              <w:rPr>
                <w:rStyle w:val="Italicpurple"/>
              </w:rPr>
              <w:t>4.5</w:t>
            </w:r>
          </w:p>
        </w:tc>
        <w:tc>
          <w:tcPr>
            <w:tcW w:w="851" w:type="dxa"/>
          </w:tcPr>
          <w:p w:rsidR="00513B54" w:rsidRDefault="00513B54" w:rsidP="00513B54">
            <w:pPr>
              <w:pStyle w:val="Maintextblack"/>
            </w:pPr>
            <w:r>
              <w:t>3.97</w:t>
            </w:r>
          </w:p>
          <w:p w:rsidR="00513B54" w:rsidRPr="0027385E" w:rsidRDefault="00513B54" w:rsidP="00513B54">
            <w:pPr>
              <w:pStyle w:val="Maintextblack"/>
              <w:rPr>
                <w:rStyle w:val="Italicpurple"/>
              </w:rPr>
            </w:pPr>
            <w:r w:rsidRPr="0027385E">
              <w:rPr>
                <w:rStyle w:val="Italicpurple"/>
              </w:rPr>
              <w:t>(1.25)</w:t>
            </w:r>
          </w:p>
        </w:tc>
        <w:tc>
          <w:tcPr>
            <w:tcW w:w="850" w:type="dxa"/>
          </w:tcPr>
          <w:p w:rsidR="00513B54" w:rsidRDefault="00513B54" w:rsidP="00513B54">
            <w:pPr>
              <w:pStyle w:val="Maintextblack"/>
            </w:pPr>
            <w:r>
              <w:t>3.78</w:t>
            </w:r>
          </w:p>
          <w:p w:rsidR="00513B54" w:rsidRPr="0027385E" w:rsidRDefault="00513B54" w:rsidP="00513B54">
            <w:pPr>
              <w:pStyle w:val="Maintextblack"/>
              <w:rPr>
                <w:rStyle w:val="Italicpurple"/>
              </w:rPr>
            </w:pPr>
            <w:r w:rsidRPr="0027385E">
              <w:rPr>
                <w:rStyle w:val="Italicpurple"/>
              </w:rPr>
              <w:t>(1.44)</w:t>
            </w:r>
          </w:p>
        </w:tc>
        <w:tc>
          <w:tcPr>
            <w:tcW w:w="993" w:type="dxa"/>
          </w:tcPr>
          <w:p w:rsidR="00513B54" w:rsidRDefault="00513B54" w:rsidP="00513B54">
            <w:pPr>
              <w:pStyle w:val="Maintextblack"/>
            </w:pPr>
            <w:r>
              <w:t>4.04</w:t>
            </w:r>
          </w:p>
          <w:p w:rsidR="00513B54" w:rsidRPr="00513B54" w:rsidRDefault="00513B54" w:rsidP="00513B54">
            <w:pPr>
              <w:pStyle w:val="Maintextblack"/>
              <w:rPr>
                <w:rStyle w:val="Italicpurple"/>
              </w:rPr>
            </w:pPr>
            <w:r>
              <w:rPr>
                <w:rStyle w:val="Italicpurple"/>
              </w:rPr>
              <w:t>(1.18)</w:t>
            </w:r>
          </w:p>
        </w:tc>
        <w:tc>
          <w:tcPr>
            <w:tcW w:w="850" w:type="dxa"/>
          </w:tcPr>
          <w:p w:rsidR="00513B54" w:rsidRDefault="00513B54" w:rsidP="00513B54">
            <w:pPr>
              <w:pStyle w:val="Maintextblack"/>
            </w:pPr>
            <w:r>
              <w:t>4.09</w:t>
            </w:r>
          </w:p>
          <w:p w:rsidR="00513B54" w:rsidRPr="00513B54" w:rsidRDefault="00513B54" w:rsidP="00513B54">
            <w:pPr>
              <w:pStyle w:val="Maintextblack"/>
              <w:rPr>
                <w:rStyle w:val="Italicpurple"/>
              </w:rPr>
            </w:pPr>
            <w:r>
              <w:rPr>
                <w:rStyle w:val="Italicpurple"/>
              </w:rPr>
              <w:t>(1.13)</w:t>
            </w:r>
          </w:p>
        </w:tc>
        <w:tc>
          <w:tcPr>
            <w:tcW w:w="948" w:type="dxa"/>
          </w:tcPr>
          <w:p w:rsidR="00513B54" w:rsidRDefault="00513B54" w:rsidP="00513B54">
            <w:pPr>
              <w:pStyle w:val="Maintextblack"/>
            </w:pPr>
            <w:r>
              <w:t>3.94</w:t>
            </w:r>
          </w:p>
          <w:p w:rsidR="00513B54" w:rsidRPr="00513B54" w:rsidRDefault="00513B54" w:rsidP="00513B54">
            <w:pPr>
              <w:pStyle w:val="Maintextblack"/>
              <w:rPr>
                <w:rStyle w:val="Italicpurple"/>
              </w:rPr>
            </w:pPr>
            <w:r>
              <w:rPr>
                <w:rStyle w:val="Italicpurple"/>
              </w:rPr>
              <w:t>(1.28)</w:t>
            </w:r>
          </w:p>
        </w:tc>
        <w:tc>
          <w:tcPr>
            <w:tcW w:w="835" w:type="dxa"/>
          </w:tcPr>
          <w:p w:rsidR="00513B54" w:rsidRDefault="00513B54" w:rsidP="00513B54">
            <w:pPr>
              <w:pStyle w:val="Maintextblack"/>
            </w:pPr>
            <w:r>
              <w:t>3.42</w:t>
            </w:r>
          </w:p>
          <w:p w:rsidR="00513B54" w:rsidRPr="00513B54" w:rsidRDefault="00513B54" w:rsidP="00513B54">
            <w:pPr>
              <w:pStyle w:val="Maintextblack"/>
              <w:rPr>
                <w:rStyle w:val="Italicpurple"/>
              </w:rPr>
            </w:pPr>
            <w:r>
              <w:rPr>
                <w:rStyle w:val="Italicpurple"/>
              </w:rPr>
              <w:t>(1.80)</w:t>
            </w:r>
          </w:p>
        </w:tc>
      </w:tr>
      <w:tr w:rsidR="00513B54" w:rsidTr="00513B54">
        <w:tc>
          <w:tcPr>
            <w:tcW w:w="1429" w:type="dxa"/>
            <w:shd w:val="clear" w:color="auto" w:fill="DCF1FA"/>
          </w:tcPr>
          <w:p w:rsidR="00513B54" w:rsidRPr="00513B54" w:rsidRDefault="00513B54" w:rsidP="00513B54">
            <w:pPr>
              <w:pStyle w:val="Maintextblack"/>
            </w:pPr>
            <w:r w:rsidRPr="00513B54">
              <w:t>Lowestoft</w:t>
            </w:r>
          </w:p>
        </w:tc>
        <w:tc>
          <w:tcPr>
            <w:tcW w:w="1489" w:type="dxa"/>
            <w:shd w:val="clear" w:color="auto" w:fill="DCF1FA"/>
          </w:tcPr>
          <w:p w:rsidR="00513B54" w:rsidRDefault="00513B54" w:rsidP="00513B54">
            <w:pPr>
              <w:pStyle w:val="Maintextblack"/>
            </w:pPr>
            <w:r>
              <w:t>1.19</w:t>
            </w:r>
          </w:p>
        </w:tc>
        <w:tc>
          <w:tcPr>
            <w:tcW w:w="1056" w:type="dxa"/>
            <w:shd w:val="clear" w:color="auto" w:fill="DCF1FA"/>
          </w:tcPr>
          <w:p w:rsidR="00513B54" w:rsidRDefault="00513B54" w:rsidP="00513B54">
            <w:pPr>
              <w:pStyle w:val="Maintextblack"/>
            </w:pPr>
            <w:r>
              <w:t>3.26</w:t>
            </w:r>
          </w:p>
          <w:p w:rsidR="00513B54" w:rsidRPr="0027385E" w:rsidRDefault="00513B54" w:rsidP="00513B54">
            <w:pPr>
              <w:pStyle w:val="Maintextblack"/>
              <w:rPr>
                <w:rStyle w:val="Italicpurple"/>
              </w:rPr>
            </w:pPr>
            <w:r w:rsidRPr="0027385E">
              <w:rPr>
                <w:rStyle w:val="Italicpurple"/>
              </w:rPr>
              <w:t>(2.07)</w:t>
            </w:r>
          </w:p>
        </w:tc>
        <w:tc>
          <w:tcPr>
            <w:tcW w:w="1134" w:type="dxa"/>
            <w:shd w:val="clear" w:color="auto" w:fill="DCF1FA"/>
          </w:tcPr>
          <w:p w:rsidR="00513B54" w:rsidRPr="00513B54" w:rsidRDefault="00513B54" w:rsidP="00513B54">
            <w:pPr>
              <w:pStyle w:val="Maintextblack"/>
              <w:rPr>
                <w:rStyle w:val="Italicpurple"/>
              </w:rPr>
            </w:pPr>
            <w:r w:rsidRPr="005B21DA">
              <w:rPr>
                <w:rStyle w:val="Italicpurple"/>
              </w:rPr>
              <w:t>2.1</w:t>
            </w:r>
          </w:p>
        </w:tc>
        <w:tc>
          <w:tcPr>
            <w:tcW w:w="851" w:type="dxa"/>
            <w:shd w:val="clear" w:color="auto" w:fill="DCF1FA"/>
          </w:tcPr>
          <w:p w:rsidR="00513B54" w:rsidRDefault="00513B54" w:rsidP="00513B54">
            <w:pPr>
              <w:pStyle w:val="Maintextblack"/>
            </w:pPr>
            <w:r>
              <w:t>1.29</w:t>
            </w:r>
          </w:p>
          <w:p w:rsidR="00513B54" w:rsidRPr="0027385E" w:rsidRDefault="00513B54" w:rsidP="00513B54">
            <w:pPr>
              <w:pStyle w:val="Maintextblack"/>
              <w:rPr>
                <w:rStyle w:val="Italicpurple"/>
              </w:rPr>
            </w:pPr>
            <w:r w:rsidRPr="0027385E">
              <w:rPr>
                <w:rStyle w:val="Italicpurple"/>
              </w:rPr>
              <w:t>(1.97)</w:t>
            </w:r>
          </w:p>
        </w:tc>
        <w:tc>
          <w:tcPr>
            <w:tcW w:w="850" w:type="dxa"/>
            <w:shd w:val="clear" w:color="auto" w:fill="DCF1FA"/>
          </w:tcPr>
          <w:p w:rsidR="00513B54" w:rsidRDefault="00513B54" w:rsidP="00513B54">
            <w:pPr>
              <w:pStyle w:val="Maintextblack"/>
            </w:pPr>
            <w:r>
              <w:t>1.20</w:t>
            </w:r>
          </w:p>
          <w:p w:rsidR="00513B54" w:rsidRPr="0027385E" w:rsidRDefault="00513B54" w:rsidP="00513B54">
            <w:pPr>
              <w:pStyle w:val="Maintextblack"/>
              <w:rPr>
                <w:rStyle w:val="Italicpurple"/>
              </w:rPr>
            </w:pPr>
            <w:r w:rsidRPr="0027385E">
              <w:rPr>
                <w:rStyle w:val="Italicpurple"/>
              </w:rPr>
              <w:t>(2.06)</w:t>
            </w:r>
          </w:p>
        </w:tc>
        <w:tc>
          <w:tcPr>
            <w:tcW w:w="993" w:type="dxa"/>
            <w:shd w:val="clear" w:color="auto" w:fill="DCF1FA"/>
          </w:tcPr>
          <w:p w:rsidR="00513B54" w:rsidRDefault="00513B54" w:rsidP="00513B54">
            <w:pPr>
              <w:pStyle w:val="Maintextblack"/>
            </w:pPr>
            <w:r>
              <w:t>1.41</w:t>
            </w:r>
          </w:p>
          <w:p w:rsidR="00513B54" w:rsidRPr="00513B54" w:rsidRDefault="00513B54" w:rsidP="00513B54">
            <w:pPr>
              <w:pStyle w:val="Maintextblack"/>
              <w:rPr>
                <w:rStyle w:val="Italicpurple"/>
              </w:rPr>
            </w:pPr>
            <w:r>
              <w:rPr>
                <w:rStyle w:val="Italicpurple"/>
              </w:rPr>
              <w:t>(1.85</w:t>
            </w:r>
            <w:r w:rsidRPr="00513B54">
              <w:rPr>
                <w:rStyle w:val="Italicpurple"/>
              </w:rPr>
              <w:t>)</w:t>
            </w:r>
          </w:p>
        </w:tc>
        <w:tc>
          <w:tcPr>
            <w:tcW w:w="850" w:type="dxa"/>
            <w:shd w:val="clear" w:color="auto" w:fill="DCF1FA"/>
          </w:tcPr>
          <w:p w:rsidR="00513B54" w:rsidRDefault="00513B54" w:rsidP="00513B54">
            <w:pPr>
              <w:pStyle w:val="Maintextblack"/>
            </w:pPr>
            <w:r>
              <w:t>1.42</w:t>
            </w:r>
          </w:p>
          <w:p w:rsidR="00513B54" w:rsidRPr="00513B54" w:rsidRDefault="00513B54" w:rsidP="00513B54">
            <w:pPr>
              <w:pStyle w:val="Maintextblack"/>
              <w:rPr>
                <w:rStyle w:val="Italicpurple"/>
              </w:rPr>
            </w:pPr>
            <w:r>
              <w:rPr>
                <w:rStyle w:val="Italicpurple"/>
              </w:rPr>
              <w:t>(1.84</w:t>
            </w:r>
            <w:r w:rsidRPr="00513B54">
              <w:rPr>
                <w:rStyle w:val="Italicpurple"/>
              </w:rPr>
              <w:t>)</w:t>
            </w:r>
          </w:p>
        </w:tc>
        <w:tc>
          <w:tcPr>
            <w:tcW w:w="948" w:type="dxa"/>
            <w:shd w:val="clear" w:color="auto" w:fill="DCF1FA"/>
          </w:tcPr>
          <w:p w:rsidR="00513B54" w:rsidRDefault="00513B54" w:rsidP="00513B54">
            <w:pPr>
              <w:pStyle w:val="Maintextblack"/>
            </w:pPr>
            <w:r>
              <w:t>1.35</w:t>
            </w:r>
          </w:p>
          <w:p w:rsidR="00513B54" w:rsidRPr="00513B54" w:rsidRDefault="00513B54" w:rsidP="00513B54">
            <w:pPr>
              <w:pStyle w:val="Maintextblack"/>
              <w:rPr>
                <w:rStyle w:val="Italicpurple"/>
              </w:rPr>
            </w:pPr>
            <w:r>
              <w:rPr>
                <w:rStyle w:val="Italicpurple"/>
              </w:rPr>
              <w:t>(</w:t>
            </w:r>
            <w:r w:rsidRPr="00513B54">
              <w:rPr>
                <w:rStyle w:val="Italicpurple"/>
              </w:rPr>
              <w:t>1.91)</w:t>
            </w:r>
          </w:p>
        </w:tc>
        <w:tc>
          <w:tcPr>
            <w:tcW w:w="835" w:type="dxa"/>
            <w:shd w:val="clear" w:color="auto" w:fill="DCF1FA"/>
          </w:tcPr>
          <w:p w:rsidR="00513B54" w:rsidRDefault="00513B54" w:rsidP="00513B54">
            <w:pPr>
              <w:pStyle w:val="Maintextblack"/>
            </w:pPr>
            <w:r>
              <w:t>1.16</w:t>
            </w:r>
          </w:p>
          <w:p w:rsidR="00513B54" w:rsidRPr="00513B54" w:rsidRDefault="00513B54" w:rsidP="00513B54">
            <w:pPr>
              <w:pStyle w:val="Maintextblack"/>
              <w:rPr>
                <w:rStyle w:val="Italicpurple"/>
              </w:rPr>
            </w:pPr>
            <w:r>
              <w:rPr>
                <w:rStyle w:val="Italicpurple"/>
              </w:rPr>
              <w:t>(2.10</w:t>
            </w:r>
            <w:r w:rsidRPr="00513B54">
              <w:rPr>
                <w:rStyle w:val="Italicpurple"/>
              </w:rPr>
              <w:t>)</w:t>
            </w:r>
          </w:p>
        </w:tc>
      </w:tr>
      <w:tr w:rsidR="00513B54" w:rsidTr="00513B54">
        <w:tc>
          <w:tcPr>
            <w:tcW w:w="1429" w:type="dxa"/>
          </w:tcPr>
          <w:p w:rsidR="00513B54" w:rsidRPr="00513B54" w:rsidRDefault="00513B54" w:rsidP="00513B54">
            <w:pPr>
              <w:pStyle w:val="Maintextblack"/>
            </w:pPr>
            <w:r w:rsidRPr="00513B54">
              <w:t>Dover</w:t>
            </w:r>
          </w:p>
        </w:tc>
        <w:tc>
          <w:tcPr>
            <w:tcW w:w="1489" w:type="dxa"/>
          </w:tcPr>
          <w:p w:rsidR="00513B54" w:rsidRDefault="00513B54" w:rsidP="00513B54">
            <w:pPr>
              <w:pStyle w:val="Maintextblack"/>
            </w:pPr>
            <w:r>
              <w:t>3.25</w:t>
            </w:r>
          </w:p>
        </w:tc>
        <w:tc>
          <w:tcPr>
            <w:tcW w:w="1056" w:type="dxa"/>
          </w:tcPr>
          <w:p w:rsidR="00513B54" w:rsidRDefault="00513B54" w:rsidP="00513B54">
            <w:pPr>
              <w:pStyle w:val="Maintextblack"/>
            </w:pPr>
            <w:r>
              <w:t>4.76</w:t>
            </w:r>
          </w:p>
          <w:p w:rsidR="00513B54" w:rsidRPr="0027385E" w:rsidRDefault="00513B54" w:rsidP="00513B54">
            <w:pPr>
              <w:pStyle w:val="Maintextblack"/>
              <w:rPr>
                <w:rStyle w:val="Italicpurple"/>
              </w:rPr>
            </w:pPr>
            <w:r w:rsidRPr="0027385E">
              <w:rPr>
                <w:rStyle w:val="Italicpurple"/>
              </w:rPr>
              <w:t>(1.51)</w:t>
            </w:r>
          </w:p>
        </w:tc>
        <w:tc>
          <w:tcPr>
            <w:tcW w:w="1134" w:type="dxa"/>
          </w:tcPr>
          <w:p w:rsidR="00513B54" w:rsidRPr="00513B54" w:rsidRDefault="00513B54" w:rsidP="00513B54">
            <w:pPr>
              <w:pStyle w:val="Maintextblack"/>
              <w:rPr>
                <w:rStyle w:val="Italicpurple"/>
              </w:rPr>
            </w:pPr>
            <w:r w:rsidRPr="005B21DA">
              <w:rPr>
                <w:rStyle w:val="Italicpurple"/>
              </w:rPr>
              <w:t>4.1</w:t>
            </w:r>
          </w:p>
        </w:tc>
        <w:tc>
          <w:tcPr>
            <w:tcW w:w="851" w:type="dxa"/>
          </w:tcPr>
          <w:p w:rsidR="00513B54" w:rsidRDefault="00513B54" w:rsidP="00513B54">
            <w:pPr>
              <w:pStyle w:val="Maintextblack"/>
            </w:pPr>
            <w:r>
              <w:t>3.50</w:t>
            </w:r>
          </w:p>
          <w:p w:rsidR="00513B54" w:rsidRPr="0027385E" w:rsidRDefault="00513B54" w:rsidP="00513B54">
            <w:pPr>
              <w:pStyle w:val="Maintextblack"/>
              <w:rPr>
                <w:rStyle w:val="Italicpurple"/>
              </w:rPr>
            </w:pPr>
            <w:r w:rsidRPr="0027385E">
              <w:rPr>
                <w:rStyle w:val="Italicpurple"/>
              </w:rPr>
              <w:t>(1.26)</w:t>
            </w:r>
          </w:p>
        </w:tc>
        <w:tc>
          <w:tcPr>
            <w:tcW w:w="850" w:type="dxa"/>
          </w:tcPr>
          <w:p w:rsidR="00513B54" w:rsidRDefault="00513B54" w:rsidP="00513B54">
            <w:pPr>
              <w:pStyle w:val="Maintextblack"/>
            </w:pPr>
            <w:r>
              <w:t>3.35</w:t>
            </w:r>
          </w:p>
          <w:p w:rsidR="00513B54" w:rsidRPr="0027385E" w:rsidRDefault="00513B54" w:rsidP="00513B54">
            <w:pPr>
              <w:pStyle w:val="Maintextblack"/>
              <w:rPr>
                <w:rStyle w:val="Italicpurple"/>
              </w:rPr>
            </w:pPr>
            <w:r w:rsidRPr="0027385E">
              <w:rPr>
                <w:rStyle w:val="Italicpurple"/>
              </w:rPr>
              <w:t>(1.41)</w:t>
            </w:r>
          </w:p>
        </w:tc>
        <w:tc>
          <w:tcPr>
            <w:tcW w:w="993" w:type="dxa"/>
          </w:tcPr>
          <w:p w:rsidR="00513B54" w:rsidRDefault="00513B54" w:rsidP="00513B54">
            <w:pPr>
              <w:pStyle w:val="Maintextblack"/>
            </w:pPr>
            <w:r>
              <w:t>3.57</w:t>
            </w:r>
          </w:p>
          <w:p w:rsidR="00513B54" w:rsidRPr="00513B54" w:rsidRDefault="00513B54" w:rsidP="00513B54">
            <w:pPr>
              <w:pStyle w:val="Maintextblack"/>
              <w:rPr>
                <w:rStyle w:val="Italicpurple"/>
              </w:rPr>
            </w:pPr>
            <w:r>
              <w:rPr>
                <w:rStyle w:val="Italicpurple"/>
              </w:rPr>
              <w:t>(1</w:t>
            </w:r>
            <w:r w:rsidRPr="00513B54">
              <w:rPr>
                <w:rStyle w:val="Italicpurple"/>
              </w:rPr>
              <w:t>.19)</w:t>
            </w:r>
          </w:p>
        </w:tc>
        <w:tc>
          <w:tcPr>
            <w:tcW w:w="850" w:type="dxa"/>
          </w:tcPr>
          <w:p w:rsidR="00513B54" w:rsidRDefault="00513B54" w:rsidP="00513B54">
            <w:pPr>
              <w:pStyle w:val="Maintextblack"/>
            </w:pPr>
            <w:r>
              <w:t>3.63</w:t>
            </w:r>
          </w:p>
          <w:p w:rsidR="00513B54" w:rsidRPr="00513B54" w:rsidRDefault="00513B54" w:rsidP="00513B54">
            <w:pPr>
              <w:pStyle w:val="Maintextblack"/>
              <w:rPr>
                <w:rStyle w:val="Italicpurple"/>
              </w:rPr>
            </w:pPr>
            <w:r>
              <w:rPr>
                <w:rStyle w:val="Italicpurple"/>
              </w:rPr>
              <w:t>(1.13)</w:t>
            </w:r>
          </w:p>
        </w:tc>
        <w:tc>
          <w:tcPr>
            <w:tcW w:w="948" w:type="dxa"/>
          </w:tcPr>
          <w:p w:rsidR="00513B54" w:rsidRDefault="00513B54" w:rsidP="00513B54">
            <w:pPr>
              <w:pStyle w:val="Maintextblack"/>
            </w:pPr>
            <w:r>
              <w:t>3.56</w:t>
            </w:r>
          </w:p>
          <w:p w:rsidR="00513B54" w:rsidRPr="00513B54" w:rsidRDefault="00513B54" w:rsidP="00513B54">
            <w:pPr>
              <w:pStyle w:val="Maintextblack"/>
              <w:rPr>
                <w:rStyle w:val="Italicpurple"/>
              </w:rPr>
            </w:pPr>
            <w:r>
              <w:rPr>
                <w:rStyle w:val="Italicpurple"/>
              </w:rPr>
              <w:t>(1.20)</w:t>
            </w:r>
          </w:p>
        </w:tc>
        <w:tc>
          <w:tcPr>
            <w:tcW w:w="835" w:type="dxa"/>
          </w:tcPr>
          <w:p w:rsidR="00513B54" w:rsidRDefault="00513B54" w:rsidP="00513B54">
            <w:pPr>
              <w:pStyle w:val="Maintextblack"/>
            </w:pPr>
            <w:r>
              <w:t>3.12</w:t>
            </w:r>
          </w:p>
          <w:p w:rsidR="00513B54" w:rsidRPr="00513B54" w:rsidRDefault="00513B54" w:rsidP="00513B54">
            <w:pPr>
              <w:pStyle w:val="Maintextblack"/>
              <w:rPr>
                <w:rStyle w:val="Italicpurple"/>
              </w:rPr>
            </w:pPr>
            <w:r>
              <w:rPr>
                <w:rStyle w:val="Italicpurple"/>
              </w:rPr>
              <w:t>(1.62)</w:t>
            </w:r>
          </w:p>
        </w:tc>
      </w:tr>
      <w:tr w:rsidR="00513B54" w:rsidTr="00513B54">
        <w:tc>
          <w:tcPr>
            <w:tcW w:w="1429" w:type="dxa"/>
            <w:shd w:val="clear" w:color="auto" w:fill="DCF1FA"/>
          </w:tcPr>
          <w:p w:rsidR="00513B54" w:rsidRPr="00513B54" w:rsidRDefault="00513B54" w:rsidP="00513B54">
            <w:pPr>
              <w:pStyle w:val="Maintextblack"/>
            </w:pPr>
            <w:r w:rsidRPr="00513B54">
              <w:t xml:space="preserve">Liverpool </w:t>
            </w:r>
          </w:p>
        </w:tc>
        <w:tc>
          <w:tcPr>
            <w:tcW w:w="1489" w:type="dxa"/>
            <w:shd w:val="clear" w:color="auto" w:fill="DCF1FA"/>
          </w:tcPr>
          <w:p w:rsidR="00513B54" w:rsidRDefault="00513B54" w:rsidP="00513B54">
            <w:pPr>
              <w:pStyle w:val="Maintextblack"/>
            </w:pPr>
            <w:r>
              <w:t>4.97</w:t>
            </w:r>
          </w:p>
        </w:tc>
        <w:tc>
          <w:tcPr>
            <w:tcW w:w="1056" w:type="dxa"/>
            <w:shd w:val="clear" w:color="auto" w:fill="DCF1FA"/>
          </w:tcPr>
          <w:p w:rsidR="00513B54" w:rsidRDefault="00513B54" w:rsidP="00513B54">
            <w:pPr>
              <w:pStyle w:val="Maintextblack"/>
            </w:pPr>
            <w:r>
              <w:t>6.22</w:t>
            </w:r>
          </w:p>
          <w:p w:rsidR="00513B54" w:rsidRPr="0027385E" w:rsidRDefault="00513B54" w:rsidP="00513B54">
            <w:pPr>
              <w:pStyle w:val="Maintextblack"/>
              <w:rPr>
                <w:rStyle w:val="Italicpurple"/>
              </w:rPr>
            </w:pPr>
            <w:r w:rsidRPr="0027385E">
              <w:rPr>
                <w:rStyle w:val="Italicpurple"/>
              </w:rPr>
              <w:t>(1.25)</w:t>
            </w:r>
          </w:p>
        </w:tc>
        <w:tc>
          <w:tcPr>
            <w:tcW w:w="1134" w:type="dxa"/>
            <w:shd w:val="clear" w:color="auto" w:fill="DCF1FA"/>
          </w:tcPr>
          <w:p w:rsidR="00513B54" w:rsidRPr="00513B54" w:rsidRDefault="00513B54" w:rsidP="00513B54">
            <w:pPr>
              <w:pStyle w:val="Maintextblack"/>
              <w:rPr>
                <w:rStyle w:val="Italicpurple"/>
              </w:rPr>
            </w:pPr>
            <w:r w:rsidRPr="005B21DA">
              <w:rPr>
                <w:rStyle w:val="Italicpurple"/>
              </w:rPr>
              <w:t>5.6</w:t>
            </w:r>
          </w:p>
        </w:tc>
        <w:tc>
          <w:tcPr>
            <w:tcW w:w="851" w:type="dxa"/>
            <w:shd w:val="clear" w:color="auto" w:fill="DCF1FA"/>
          </w:tcPr>
          <w:p w:rsidR="00513B54" w:rsidRDefault="00513B54" w:rsidP="00513B54">
            <w:pPr>
              <w:pStyle w:val="Maintextblack"/>
            </w:pPr>
            <w:r>
              <w:t>5.35</w:t>
            </w:r>
          </w:p>
          <w:p w:rsidR="00513B54" w:rsidRPr="00B50276" w:rsidRDefault="00513B54" w:rsidP="00513B54">
            <w:pPr>
              <w:pStyle w:val="Maintextblack"/>
              <w:rPr>
                <w:rStyle w:val="Italicpurple"/>
              </w:rPr>
            </w:pPr>
            <w:r w:rsidRPr="00B50276">
              <w:rPr>
                <w:rStyle w:val="Italicpurple"/>
              </w:rPr>
              <w:t>(0.87)</w:t>
            </w:r>
          </w:p>
        </w:tc>
        <w:tc>
          <w:tcPr>
            <w:tcW w:w="850" w:type="dxa"/>
            <w:shd w:val="clear" w:color="auto" w:fill="DCF1FA"/>
          </w:tcPr>
          <w:p w:rsidR="00513B54" w:rsidRDefault="00513B54" w:rsidP="00513B54">
            <w:pPr>
              <w:pStyle w:val="Maintextblack"/>
            </w:pPr>
            <w:r>
              <w:t>5.10</w:t>
            </w:r>
          </w:p>
          <w:p w:rsidR="00513B54" w:rsidRPr="00B50276" w:rsidRDefault="00513B54" w:rsidP="00513B54">
            <w:pPr>
              <w:pStyle w:val="Maintextblack"/>
              <w:rPr>
                <w:rStyle w:val="Italicpurple"/>
              </w:rPr>
            </w:pPr>
            <w:r w:rsidRPr="00B50276">
              <w:rPr>
                <w:rStyle w:val="Italicpurple"/>
              </w:rPr>
              <w:t>(1.12)</w:t>
            </w:r>
          </w:p>
        </w:tc>
        <w:tc>
          <w:tcPr>
            <w:tcW w:w="993" w:type="dxa"/>
            <w:shd w:val="clear" w:color="auto" w:fill="DCF1FA"/>
          </w:tcPr>
          <w:p w:rsidR="00513B54" w:rsidRDefault="00513B54" w:rsidP="00513B54">
            <w:pPr>
              <w:pStyle w:val="Maintextblack"/>
            </w:pPr>
            <w:r>
              <w:t>5.39</w:t>
            </w:r>
          </w:p>
          <w:p w:rsidR="00513B54" w:rsidRPr="00513B54" w:rsidRDefault="00513B54" w:rsidP="00513B54">
            <w:pPr>
              <w:pStyle w:val="Maintextblack"/>
              <w:rPr>
                <w:rStyle w:val="Italicpurple"/>
              </w:rPr>
            </w:pPr>
            <w:r>
              <w:rPr>
                <w:rStyle w:val="Italicpurple"/>
              </w:rPr>
              <w:t>(0.83)</w:t>
            </w:r>
          </w:p>
        </w:tc>
        <w:tc>
          <w:tcPr>
            <w:tcW w:w="850" w:type="dxa"/>
            <w:shd w:val="clear" w:color="auto" w:fill="DCF1FA"/>
          </w:tcPr>
          <w:p w:rsidR="00513B54" w:rsidRDefault="00513B54" w:rsidP="00513B54">
            <w:pPr>
              <w:pStyle w:val="Maintextblack"/>
            </w:pPr>
            <w:r>
              <w:t>5.47</w:t>
            </w:r>
          </w:p>
          <w:p w:rsidR="00513B54" w:rsidRPr="00513B54" w:rsidRDefault="00513B54" w:rsidP="00513B54">
            <w:pPr>
              <w:pStyle w:val="Maintextblack"/>
              <w:rPr>
                <w:rStyle w:val="Italicpurple"/>
              </w:rPr>
            </w:pPr>
            <w:r>
              <w:rPr>
                <w:rStyle w:val="Italicpurple"/>
              </w:rPr>
              <w:t>(0.75)</w:t>
            </w:r>
          </w:p>
        </w:tc>
        <w:tc>
          <w:tcPr>
            <w:tcW w:w="948" w:type="dxa"/>
            <w:shd w:val="clear" w:color="auto" w:fill="DCF1FA"/>
          </w:tcPr>
          <w:p w:rsidR="00513B54" w:rsidRDefault="00513B54" w:rsidP="00513B54">
            <w:pPr>
              <w:pStyle w:val="Maintextblack"/>
            </w:pPr>
            <w:r>
              <w:t>5.31</w:t>
            </w:r>
          </w:p>
          <w:p w:rsidR="00513B54" w:rsidRPr="00513B54" w:rsidRDefault="00513B54" w:rsidP="00513B54">
            <w:pPr>
              <w:pStyle w:val="Maintextblack"/>
              <w:rPr>
                <w:rStyle w:val="Italicpurple"/>
              </w:rPr>
            </w:pPr>
            <w:r>
              <w:rPr>
                <w:rStyle w:val="Italicpurple"/>
              </w:rPr>
              <w:t>(0.91)</w:t>
            </w:r>
          </w:p>
        </w:tc>
        <w:tc>
          <w:tcPr>
            <w:tcW w:w="835" w:type="dxa"/>
            <w:shd w:val="clear" w:color="auto" w:fill="DCF1FA"/>
          </w:tcPr>
          <w:p w:rsidR="00513B54" w:rsidRDefault="00513B54" w:rsidP="00513B54">
            <w:pPr>
              <w:pStyle w:val="Maintextblack"/>
            </w:pPr>
            <w:r>
              <w:t>4.66</w:t>
            </w:r>
          </w:p>
          <w:p w:rsidR="00513B54" w:rsidRPr="00513B54" w:rsidRDefault="00513B54" w:rsidP="005B5365">
            <w:pPr>
              <w:pStyle w:val="Maintextblack"/>
              <w:rPr>
                <w:rStyle w:val="Italicpurple"/>
              </w:rPr>
            </w:pPr>
            <w:r>
              <w:rPr>
                <w:rStyle w:val="Italicpurple"/>
              </w:rPr>
              <w:t>(</w:t>
            </w:r>
            <w:r w:rsidR="005B5365">
              <w:rPr>
                <w:rStyle w:val="Italicpurple"/>
              </w:rPr>
              <w:t>1</w:t>
            </w:r>
            <w:r>
              <w:rPr>
                <w:rStyle w:val="Italicpurple"/>
              </w:rPr>
              <w:t>.5</w:t>
            </w:r>
            <w:r w:rsidRPr="00513B54">
              <w:rPr>
                <w:rStyle w:val="Italicpurple"/>
              </w:rPr>
              <w:t>6)</w:t>
            </w:r>
          </w:p>
        </w:tc>
      </w:tr>
    </w:tbl>
    <w:p w:rsidR="00A41F55" w:rsidRDefault="00A41F55" w:rsidP="00F43F44">
      <w:pPr>
        <w:pStyle w:val="Maintextblack"/>
      </w:pPr>
    </w:p>
    <w:p w:rsidR="002166D0" w:rsidRDefault="002166D0" w:rsidP="00F43F44">
      <w:pPr>
        <w:pStyle w:val="Maintextblack"/>
      </w:pPr>
    </w:p>
    <w:p w:rsidR="002166D0" w:rsidRDefault="002166D0" w:rsidP="00F43F44">
      <w:pPr>
        <w:pStyle w:val="Maintextblack"/>
      </w:pPr>
    </w:p>
    <w:sectPr w:rsidR="002166D0" w:rsidSect="00383130">
      <w:headerReference w:type="default" r:id="rId8"/>
      <w:footerReference w:type="default" r:id="rId9"/>
      <w:headerReference w:type="first" r:id="rId10"/>
      <w:footerReference w:type="first" r:id="rId11"/>
      <w:pgSz w:w="11899" w:h="16838" w:code="9"/>
      <w:pgMar w:top="737" w:right="737" w:bottom="737" w:left="737" w:header="340" w:footer="34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5FD" w:rsidRDefault="003345FD" w:rsidP="002F321C">
      <w:r>
        <w:separator/>
      </w:r>
    </w:p>
  </w:endnote>
  <w:endnote w:type="continuationSeparator" w:id="0">
    <w:p w:rsidR="003345FD" w:rsidRDefault="003345FD"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D9" w:rsidRDefault="00C625C3" w:rsidP="00813A53">
    <w:pPr>
      <w:ind w:left="-170"/>
    </w:pPr>
    <w:r>
      <w:rPr>
        <w:noProof/>
      </w:rPr>
      <mc:AlternateContent>
        <mc:Choice Requires="wps">
          <w:drawing>
            <wp:anchor distT="0" distB="0" distL="114300" distR="114300" simplePos="0" relativeHeight="251656192" behindDoc="0" locked="0" layoutInCell="1" allowOverlap="1">
              <wp:simplePos x="0" y="0"/>
              <wp:positionH relativeFrom="column">
                <wp:posOffset>-139065</wp:posOffset>
              </wp:positionH>
              <wp:positionV relativeFrom="paragraph">
                <wp:posOffset>401320</wp:posOffset>
              </wp:positionV>
              <wp:extent cx="4168775" cy="255905"/>
              <wp:effectExtent l="3810" t="127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D9" w:rsidRDefault="00B33CD9" w:rsidP="009A5793">
                          <w:pPr>
                            <w:jc w:val="both"/>
                          </w:pPr>
                          <w:r>
                            <w:t>www.gov.uk/environment-agency</w:t>
                          </w:r>
                        </w:p>
                        <w:p w:rsidR="00B33CD9" w:rsidRDefault="00B33C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95pt;margin-top:31.6pt;width:328.25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yntg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" filled="f" stroked="f">
              <v:textbox>
                <w:txbxContent>
                  <w:p w:rsidR="00B33CD9" w:rsidRDefault="00B33CD9" w:rsidP="009A5793">
                    <w:pPr>
                      <w:jc w:val="both"/>
                    </w:pPr>
                    <w:r>
                      <w:t>www.gov.uk/environment-agency</w:t>
                    </w:r>
                  </w:p>
                  <w:p w:rsidR="00B33CD9" w:rsidRDefault="00B33CD9"/>
                </w:txbxContent>
              </v:textbox>
            </v:shape>
          </w:pict>
        </mc:Fallback>
      </mc:AlternateContent>
    </w:r>
    <w:r w:rsidR="00E5576F">
      <w:rPr>
        <w:noProof/>
      </w:rPr>
      <w:drawing>
        <wp:inline distT="0" distB="0" distL="0" distR="0">
          <wp:extent cx="7196455" cy="653415"/>
          <wp:effectExtent l="19050" t="0" r="4445" b="0"/>
          <wp:docPr id="1" name="Picture 2" descr="purple c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 cont.jpg"/>
                  <pic:cNvPicPr>
                    <a:picLocks noChangeAspect="1" noChangeArrowheads="1"/>
                  </pic:cNvPicPr>
                </pic:nvPicPr>
                <pic:blipFill>
                  <a:blip r:embed="rId1"/>
                  <a:srcRect/>
                  <a:stretch>
                    <a:fillRect/>
                  </a:stretch>
                </pic:blipFill>
                <pic:spPr bwMode="auto">
                  <a:xfrm>
                    <a:off x="0" y="0"/>
                    <a:ext cx="7196455" cy="653415"/>
                  </a:xfrm>
                  <a:prstGeom prst="rect">
                    <a:avLst/>
                  </a:prstGeom>
                  <a:noFill/>
                  <a:ln w="9525">
                    <a:noFill/>
                    <a:miter lim="800000"/>
                    <a:headEnd/>
                    <a:tailEnd/>
                  </a:ln>
                </pic:spPr>
              </pic:pic>
            </a:graphicData>
          </a:graphic>
        </wp:inline>
      </w:drawing>
    </w:r>
  </w:p>
  <w:p w:rsidR="00B33CD9" w:rsidRPr="00813A53" w:rsidRDefault="00B33CD9" w:rsidP="00E80C41">
    <w:pPr>
      <w:pStyle w:val="Footer"/>
      <w:tabs>
        <w:tab w:val="right" w:pos="10425"/>
      </w:tabs>
      <w:jc w:val="center"/>
    </w:pPr>
    <w:r w:rsidRPr="00705B65">
      <w:tab/>
      <w:t xml:space="preserve"> </w:t>
    </w:r>
    <w:r w:rsidR="00C625C3">
      <w:fldChar w:fldCharType="begin"/>
    </w:r>
    <w:r w:rsidR="00C625C3">
      <w:instrText xml:space="preserve"> PAGE </w:instrText>
    </w:r>
    <w:r w:rsidR="00C625C3">
      <w:fldChar w:fldCharType="separate"/>
    </w:r>
    <w:r w:rsidR="00C625C3">
      <w:rPr>
        <w:noProof/>
      </w:rPr>
      <w:t>2</w:t>
    </w:r>
    <w:r w:rsidR="00C625C3">
      <w:rPr>
        <w:noProof/>
      </w:rPr>
      <w:fldChar w:fldCharType="end"/>
    </w:r>
    <w:r>
      <w:t xml:space="preserve"> of </w:t>
    </w:r>
    <w:r w:rsidR="00C625C3">
      <w:fldChar w:fldCharType="begin"/>
    </w:r>
    <w:r w:rsidR="00C625C3">
      <w:instrText xml:space="preserve"> NUMPAGES  </w:instrText>
    </w:r>
    <w:r w:rsidR="00C625C3">
      <w:fldChar w:fldCharType="separate"/>
    </w:r>
    <w:r w:rsidR="00C625C3">
      <w:rPr>
        <w:noProof/>
      </w:rPr>
      <w:t>3</w:t>
    </w:r>
    <w:r w:rsidR="00C625C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D9" w:rsidRDefault="00E5576F" w:rsidP="006D40B2">
    <w:pPr>
      <w:pStyle w:val="Footer"/>
      <w:ind w:left="-170"/>
    </w:pPr>
    <w:r>
      <w:rPr>
        <w:noProof/>
      </w:rPr>
      <w:drawing>
        <wp:anchor distT="0" distB="0" distL="114300" distR="114300" simplePos="0" relativeHeight="251660288" behindDoc="1" locked="1" layoutInCell="1" allowOverlap="1">
          <wp:simplePos x="0" y="0"/>
          <wp:positionH relativeFrom="column">
            <wp:posOffset>-58420</wp:posOffset>
          </wp:positionH>
          <wp:positionV relativeFrom="page">
            <wp:posOffset>10001250</wp:posOffset>
          </wp:positionV>
          <wp:extent cx="10439400" cy="228600"/>
          <wp:effectExtent l="19050" t="0" r="0" b="0"/>
          <wp:wrapNone/>
          <wp:docPr id="9" name="Picture 9" descr="FS_Top_Bar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_Top_Bar_Purple.jpg"/>
                  <pic:cNvPicPr>
                    <a:picLocks noChangeAspect="1" noChangeArrowheads="1"/>
                  </pic:cNvPicPr>
                </pic:nvPicPr>
                <pic:blipFill>
                  <a:blip r:embed="rId1"/>
                  <a:srcRect/>
                  <a:stretch>
                    <a:fillRect/>
                  </a:stretch>
                </pic:blipFill>
                <pic:spPr bwMode="auto">
                  <a:xfrm>
                    <a:off x="0" y="0"/>
                    <a:ext cx="10439400" cy="228600"/>
                  </a:xfrm>
                  <a:prstGeom prst="rect">
                    <a:avLst/>
                  </a:prstGeom>
                  <a:noFill/>
                </pic:spPr>
              </pic:pic>
            </a:graphicData>
          </a:graphic>
        </wp:anchor>
      </w:drawing>
    </w:r>
    <w:r w:rsidR="00C625C3">
      <w:rPr>
        <w:noProof/>
      </w:rPr>
      <mc:AlternateContent>
        <mc:Choice Requires="wps">
          <w:drawing>
            <wp:anchor distT="0" distB="0" distL="114300" distR="114300" simplePos="0" relativeHeight="251655168" behindDoc="0" locked="0" layoutInCell="1" allowOverlap="1">
              <wp:simplePos x="0" y="0"/>
              <wp:positionH relativeFrom="column">
                <wp:posOffset>-67945</wp:posOffset>
              </wp:positionH>
              <wp:positionV relativeFrom="paragraph">
                <wp:posOffset>-9525</wp:posOffset>
              </wp:positionV>
              <wp:extent cx="4505325" cy="29527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CD9" w:rsidRDefault="00B33CD9">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5.35pt;margin-top:-.75pt;width:354.7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o5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" filled="f" stroked="f">
              <v:textbox>
                <w:txbxContent>
                  <w:p w:rsidR="00B33CD9" w:rsidRDefault="00B33CD9">
                    <w:r>
                      <w:t>www.gov.uk/environment-agency</w:t>
                    </w:r>
                  </w:p>
                </w:txbxContent>
              </v:textbox>
            </v:shape>
          </w:pict>
        </mc:Fallback>
      </mc:AlternateContent>
    </w:r>
    <w:r>
      <w:rPr>
        <w:noProof/>
      </w:rPr>
      <w:drawing>
        <wp:anchor distT="0" distB="0" distL="114300" distR="114300" simplePos="0" relativeHeight="251658240" behindDoc="0" locked="1" layoutInCell="1" allowOverlap="1">
          <wp:simplePos x="0" y="0"/>
          <wp:positionH relativeFrom="page">
            <wp:posOffset>5391150</wp:posOffset>
          </wp:positionH>
          <wp:positionV relativeFrom="paragraph">
            <wp:posOffset>-1809750</wp:posOffset>
          </wp:positionV>
          <wp:extent cx="2162175" cy="2038350"/>
          <wp:effectExtent l="19050" t="0" r="9525" b="0"/>
          <wp:wrapNone/>
          <wp:docPr id="8" name="Picture 3" descr="FS_Footer_logo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Footer_logo_Purple.png"/>
                  <pic:cNvPicPr>
                    <a:picLocks noChangeAspect="1" noChangeArrowheads="1"/>
                  </pic:cNvPicPr>
                </pic:nvPicPr>
                <pic:blipFill>
                  <a:blip r:embed="rId2"/>
                  <a:srcRect/>
                  <a:stretch>
                    <a:fillRect/>
                  </a:stretch>
                </pic:blipFill>
                <pic:spPr bwMode="auto">
                  <a:xfrm>
                    <a:off x="0" y="0"/>
                    <a:ext cx="2162175" cy="2038350"/>
                  </a:xfrm>
                  <a:prstGeom prst="rect">
                    <a:avLst/>
                  </a:prstGeom>
                  <a:noFill/>
                </pic:spPr>
              </pic:pic>
            </a:graphicData>
          </a:graphic>
        </wp:anchor>
      </w:drawing>
    </w:r>
  </w:p>
  <w:p w:rsidR="00B33CD9" w:rsidRPr="006D40B2" w:rsidRDefault="00B33CD9" w:rsidP="00E80C41">
    <w:pPr>
      <w:pStyle w:val="Footer"/>
      <w:tabs>
        <w:tab w:val="right" w:pos="10425"/>
      </w:tabs>
      <w:jc w:val="center"/>
    </w:pPr>
    <w:r w:rsidRPr="00705B65">
      <w:tab/>
      <w:t xml:space="preserve"> </w:t>
    </w:r>
    <w:r w:rsidR="00C625C3">
      <w:fldChar w:fldCharType="begin"/>
    </w:r>
    <w:r w:rsidR="00C625C3">
      <w:instrText xml:space="preserve"> PAGE </w:instrText>
    </w:r>
    <w:r w:rsidR="00C625C3">
      <w:fldChar w:fldCharType="separate"/>
    </w:r>
    <w:r w:rsidR="00C625C3">
      <w:rPr>
        <w:noProof/>
      </w:rPr>
      <w:t>1</w:t>
    </w:r>
    <w:r w:rsidR="00C625C3">
      <w:rPr>
        <w:noProof/>
      </w:rPr>
      <w:fldChar w:fldCharType="end"/>
    </w:r>
    <w:r>
      <w:t xml:space="preserve"> of </w:t>
    </w:r>
    <w:r w:rsidR="00C625C3">
      <w:fldChar w:fldCharType="begin"/>
    </w:r>
    <w:r w:rsidR="00C625C3">
      <w:instrText xml:space="preserve"> NUMPAGES  </w:instrText>
    </w:r>
    <w:r w:rsidR="00C625C3">
      <w:fldChar w:fldCharType="separate"/>
    </w:r>
    <w:r w:rsidR="00C625C3">
      <w:rPr>
        <w:noProof/>
      </w:rPr>
      <w:t>3</w:t>
    </w:r>
    <w:r w:rsidR="00C625C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5FD" w:rsidRDefault="003345FD" w:rsidP="002F321C">
      <w:r>
        <w:separator/>
      </w:r>
    </w:p>
  </w:footnote>
  <w:footnote w:type="continuationSeparator" w:id="0">
    <w:p w:rsidR="003345FD" w:rsidRDefault="003345FD"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D9" w:rsidRPr="006D40B2" w:rsidRDefault="00B33CD9" w:rsidP="00E80C41">
    <w:pPr>
      <w:pStyle w:val="Header"/>
      <w:tabs>
        <w:tab w:val="right" w:pos="10425"/>
      </w:tabs>
      <w:jc w:val="center"/>
    </w:pPr>
    <w:r w:rsidRPr="006D40B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CD9" w:rsidRDefault="00B33CD9" w:rsidP="00E80C41">
    <w:pPr>
      <w:pStyle w:val="Header"/>
      <w:tabs>
        <w:tab w:val="right" w:pos="10425"/>
      </w:tabs>
      <w:jc w:val="center"/>
    </w:pPr>
    <w:r>
      <w:tab/>
    </w:r>
  </w:p>
  <w:p w:rsidR="00B33CD9" w:rsidRDefault="00B33CD9" w:rsidP="00E80C41">
    <w:pPr>
      <w:pStyle w:val="Header"/>
      <w:jc w:val="center"/>
    </w:pPr>
  </w:p>
  <w:p w:rsidR="00B33CD9" w:rsidRPr="002C0DAA" w:rsidRDefault="00E5576F" w:rsidP="006D40B2">
    <w:pPr>
      <w:pStyle w:val="Header"/>
    </w:pPr>
    <w:r>
      <w:rPr>
        <w:noProof/>
      </w:rPr>
      <w:drawing>
        <wp:anchor distT="0" distB="0" distL="114300" distR="114300" simplePos="0" relativeHeight="251659264" behindDoc="1" locked="1" layoutInCell="1" allowOverlap="1">
          <wp:simplePos x="0" y="0"/>
          <wp:positionH relativeFrom="column">
            <wp:posOffset>-109855</wp:posOffset>
          </wp:positionH>
          <wp:positionV relativeFrom="page">
            <wp:posOffset>1445260</wp:posOffset>
          </wp:positionV>
          <wp:extent cx="10437495" cy="368935"/>
          <wp:effectExtent l="19050" t="0" r="1905" b="0"/>
          <wp:wrapNone/>
          <wp:docPr id="11" name="Picture 1" descr="FS_Top_Bar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Top_Bar_Purple.jpg"/>
                  <pic:cNvPicPr>
                    <a:picLocks noChangeAspect="1" noChangeArrowheads="1"/>
                  </pic:cNvPicPr>
                </pic:nvPicPr>
                <pic:blipFill>
                  <a:blip r:embed="rId1"/>
                  <a:srcRect/>
                  <a:stretch>
                    <a:fillRect/>
                  </a:stretch>
                </pic:blipFill>
                <pic:spPr bwMode="auto">
                  <a:xfrm>
                    <a:off x="0" y="0"/>
                    <a:ext cx="10437495" cy="368935"/>
                  </a:xfrm>
                  <a:prstGeom prst="rect">
                    <a:avLst/>
                  </a:prstGeom>
                  <a:noFill/>
                </pic:spPr>
              </pic:pic>
            </a:graphicData>
          </a:graphic>
        </wp:anchor>
      </w:drawing>
    </w:r>
    <w:r>
      <w:rPr>
        <w:noProof/>
      </w:rPr>
      <w:drawing>
        <wp:anchor distT="0" distB="0" distL="114300" distR="114300" simplePos="0" relativeHeight="251657216" behindDoc="1" locked="1" layoutInCell="1" allowOverlap="1">
          <wp:simplePos x="0" y="0"/>
          <wp:positionH relativeFrom="column">
            <wp:posOffset>4427855</wp:posOffset>
          </wp:positionH>
          <wp:positionV relativeFrom="page">
            <wp:posOffset>381000</wp:posOffset>
          </wp:positionV>
          <wp:extent cx="2282825" cy="638175"/>
          <wp:effectExtent l="19050" t="0" r="3175" b="0"/>
          <wp:wrapNone/>
          <wp:docPr id="10" name="Picture 0" descr="EA_logo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A_logo_Purple.jpg"/>
                  <pic:cNvPicPr>
                    <a:picLocks noChangeAspect="1" noChangeArrowheads="1"/>
                  </pic:cNvPicPr>
                </pic:nvPicPr>
                <pic:blipFill>
                  <a:blip r:embed="rId2"/>
                  <a:srcRect/>
                  <a:stretch>
                    <a:fillRect/>
                  </a:stretch>
                </pic:blipFill>
                <pic:spPr bwMode="auto">
                  <a:xfrm>
                    <a:off x="0" y="0"/>
                    <a:ext cx="2282825" cy="6381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nsid w:val="115D4015"/>
    <w:multiLevelType w:val="multilevel"/>
    <w:tmpl w:val="A416626A"/>
    <w:styleLink w:val="MULTILEVELHEADINGS"/>
    <w:lvl w:ilvl="0">
      <w:start w:val="1"/>
      <w:numFmt w:val="decimal"/>
      <w:pStyle w:val="Numberedheading"/>
      <w:lvlText w:val="%1."/>
      <w:lvlJc w:val="left"/>
      <w:pPr>
        <w:ind w:left="360" w:hanging="360"/>
      </w:pPr>
      <w:rPr>
        <w:rFonts w:ascii="Arial" w:hAnsi="Arial" w:hint="default"/>
        <w:b w:val="0"/>
        <w:i w:val="0"/>
        <w:color w:val="56004E"/>
      </w:rPr>
    </w:lvl>
    <w:lvl w:ilvl="1">
      <w:start w:val="1"/>
      <w:numFmt w:val="decimal"/>
      <w:pStyle w:val="Numberedsecondheading"/>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33DE0419"/>
    <w:multiLevelType w:val="hybridMultilevel"/>
    <w:tmpl w:val="D1149CA4"/>
    <w:lvl w:ilvl="0" w:tplc="BA84E73E">
      <w:start w:val="1"/>
      <w:numFmt w:val="decimal"/>
      <w:pStyle w:val="Bulletnumberedblue"/>
      <w:lvlText w:val="%1."/>
      <w:lvlJc w:val="left"/>
      <w:pPr>
        <w:ind w:left="36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802930"/>
    <w:multiLevelType w:val="hybridMultilevel"/>
    <w:tmpl w:val="94003C7C"/>
    <w:lvl w:ilvl="0" w:tplc="B23C3200">
      <w:start w:val="1"/>
      <w:numFmt w:val="decimal"/>
      <w:pStyle w:val="Bulletnumbered"/>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F6337A"/>
    <w:multiLevelType w:val="hybridMultilevel"/>
    <w:tmpl w:val="2A08FFDE"/>
    <w:lvl w:ilvl="0" w:tplc="74E60A1C">
      <w:start w:val="1"/>
      <w:numFmt w:val="bullet"/>
      <w:pStyle w:val="Bulletroundpurple"/>
      <w:lvlText w:val="•"/>
      <w:lvlJc w:val="left"/>
      <w:pPr>
        <w:ind w:left="360" w:hanging="360"/>
      </w:pPr>
      <w:rPr>
        <w:rFonts w:ascii="Arial" w:hAnsi="Arial" w:hint="default"/>
        <w:color w:val="56004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1"/>
  <w:defaultTabStop w:val="720"/>
  <w:drawingGridHorizontalSpacing w:val="110"/>
  <w:displayHorizontalDrawingGridEvery w:val="2"/>
  <w:characterSpacingControl w:val="doNotCompress"/>
  <w:hdrShapeDefaults>
    <o:shapedefaults v:ext="edit" spidmax="819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4C"/>
    <w:rsid w:val="0000580B"/>
    <w:rsid w:val="00016351"/>
    <w:rsid w:val="00033AC5"/>
    <w:rsid w:val="00047AB1"/>
    <w:rsid w:val="000865EE"/>
    <w:rsid w:val="000964A3"/>
    <w:rsid w:val="000978E6"/>
    <w:rsid w:val="000A3749"/>
    <w:rsid w:val="000B3411"/>
    <w:rsid w:val="000C529F"/>
    <w:rsid w:val="000C5F80"/>
    <w:rsid w:val="000D7988"/>
    <w:rsid w:val="000E2786"/>
    <w:rsid w:val="000F5E0B"/>
    <w:rsid w:val="001040A7"/>
    <w:rsid w:val="00111B4F"/>
    <w:rsid w:val="001371CE"/>
    <w:rsid w:val="00143D31"/>
    <w:rsid w:val="00151CB3"/>
    <w:rsid w:val="0016165B"/>
    <w:rsid w:val="00164F85"/>
    <w:rsid w:val="001768FD"/>
    <w:rsid w:val="00185B4C"/>
    <w:rsid w:val="00187FF3"/>
    <w:rsid w:val="0019252A"/>
    <w:rsid w:val="00192977"/>
    <w:rsid w:val="001C4430"/>
    <w:rsid w:val="001D2A36"/>
    <w:rsid w:val="001F0262"/>
    <w:rsid w:val="001F541A"/>
    <w:rsid w:val="00206911"/>
    <w:rsid w:val="00207B26"/>
    <w:rsid w:val="0021016E"/>
    <w:rsid w:val="00215F91"/>
    <w:rsid w:val="002160DF"/>
    <w:rsid w:val="002166D0"/>
    <w:rsid w:val="002241D5"/>
    <w:rsid w:val="002273F1"/>
    <w:rsid w:val="00231EF2"/>
    <w:rsid w:val="0023638A"/>
    <w:rsid w:val="002371BC"/>
    <w:rsid w:val="00243E91"/>
    <w:rsid w:val="002543A7"/>
    <w:rsid w:val="0026271E"/>
    <w:rsid w:val="0027385E"/>
    <w:rsid w:val="002763A9"/>
    <w:rsid w:val="002773D8"/>
    <w:rsid w:val="00285BFD"/>
    <w:rsid w:val="00286E70"/>
    <w:rsid w:val="00296E29"/>
    <w:rsid w:val="002A66FF"/>
    <w:rsid w:val="002B33D4"/>
    <w:rsid w:val="002B4ADC"/>
    <w:rsid w:val="002C65FA"/>
    <w:rsid w:val="002C7D0E"/>
    <w:rsid w:val="002E741A"/>
    <w:rsid w:val="002E7FC3"/>
    <w:rsid w:val="002F1AA8"/>
    <w:rsid w:val="002F321C"/>
    <w:rsid w:val="00320BAD"/>
    <w:rsid w:val="00322ABA"/>
    <w:rsid w:val="003345FD"/>
    <w:rsid w:val="00336645"/>
    <w:rsid w:val="00354ED9"/>
    <w:rsid w:val="0035515C"/>
    <w:rsid w:val="003640E6"/>
    <w:rsid w:val="00367EFB"/>
    <w:rsid w:val="00382B8D"/>
    <w:rsid w:val="00383130"/>
    <w:rsid w:val="0038771B"/>
    <w:rsid w:val="0039735C"/>
    <w:rsid w:val="003A49B8"/>
    <w:rsid w:val="003B6652"/>
    <w:rsid w:val="003E4C6F"/>
    <w:rsid w:val="003F3D56"/>
    <w:rsid w:val="003F4AB1"/>
    <w:rsid w:val="003F63C8"/>
    <w:rsid w:val="00410087"/>
    <w:rsid w:val="00416993"/>
    <w:rsid w:val="00443738"/>
    <w:rsid w:val="00464008"/>
    <w:rsid w:val="00473D7F"/>
    <w:rsid w:val="0048054F"/>
    <w:rsid w:val="00482C5D"/>
    <w:rsid w:val="00486D71"/>
    <w:rsid w:val="004B709E"/>
    <w:rsid w:val="004D1E4A"/>
    <w:rsid w:val="004D4B05"/>
    <w:rsid w:val="004F6C6A"/>
    <w:rsid w:val="0050371D"/>
    <w:rsid w:val="00503E78"/>
    <w:rsid w:val="00513B54"/>
    <w:rsid w:val="00525803"/>
    <w:rsid w:val="005367C8"/>
    <w:rsid w:val="00551AA9"/>
    <w:rsid w:val="00551FC2"/>
    <w:rsid w:val="00557878"/>
    <w:rsid w:val="005648F6"/>
    <w:rsid w:val="00576AB9"/>
    <w:rsid w:val="005A18C8"/>
    <w:rsid w:val="005B21DA"/>
    <w:rsid w:val="005B5365"/>
    <w:rsid w:val="005C5431"/>
    <w:rsid w:val="005D3624"/>
    <w:rsid w:val="005E6663"/>
    <w:rsid w:val="005F5A34"/>
    <w:rsid w:val="005F5EC8"/>
    <w:rsid w:val="00622907"/>
    <w:rsid w:val="00625ECF"/>
    <w:rsid w:val="00636CD4"/>
    <w:rsid w:val="006379ED"/>
    <w:rsid w:val="00654FB1"/>
    <w:rsid w:val="00660237"/>
    <w:rsid w:val="0066193B"/>
    <w:rsid w:val="006811E7"/>
    <w:rsid w:val="00696EB0"/>
    <w:rsid w:val="006B337D"/>
    <w:rsid w:val="006D07B3"/>
    <w:rsid w:val="006D40B2"/>
    <w:rsid w:val="006D6286"/>
    <w:rsid w:val="006F2DE9"/>
    <w:rsid w:val="0070242F"/>
    <w:rsid w:val="00705B65"/>
    <w:rsid w:val="007064BB"/>
    <w:rsid w:val="00710E6C"/>
    <w:rsid w:val="0071281A"/>
    <w:rsid w:val="00714B5F"/>
    <w:rsid w:val="00715850"/>
    <w:rsid w:val="00726DF0"/>
    <w:rsid w:val="00730E34"/>
    <w:rsid w:val="0076680C"/>
    <w:rsid w:val="007872DE"/>
    <w:rsid w:val="007B25C8"/>
    <w:rsid w:val="007C1588"/>
    <w:rsid w:val="007C5AA5"/>
    <w:rsid w:val="007C7E70"/>
    <w:rsid w:val="007F07F4"/>
    <w:rsid w:val="007F2924"/>
    <w:rsid w:val="008052FF"/>
    <w:rsid w:val="00812B4F"/>
    <w:rsid w:val="00813A53"/>
    <w:rsid w:val="0082026A"/>
    <w:rsid w:val="0083163B"/>
    <w:rsid w:val="00843D9A"/>
    <w:rsid w:val="00844602"/>
    <w:rsid w:val="00845E13"/>
    <w:rsid w:val="00847575"/>
    <w:rsid w:val="00847BB3"/>
    <w:rsid w:val="00852164"/>
    <w:rsid w:val="00863544"/>
    <w:rsid w:val="008723BC"/>
    <w:rsid w:val="00873154"/>
    <w:rsid w:val="00884E5D"/>
    <w:rsid w:val="00892DED"/>
    <w:rsid w:val="00892F79"/>
    <w:rsid w:val="008A0D57"/>
    <w:rsid w:val="008A147B"/>
    <w:rsid w:val="008A2FA7"/>
    <w:rsid w:val="008A535E"/>
    <w:rsid w:val="008B009B"/>
    <w:rsid w:val="008B0478"/>
    <w:rsid w:val="008C1103"/>
    <w:rsid w:val="008E4CF4"/>
    <w:rsid w:val="008F5627"/>
    <w:rsid w:val="00902DD7"/>
    <w:rsid w:val="00903A81"/>
    <w:rsid w:val="00904440"/>
    <w:rsid w:val="00911047"/>
    <w:rsid w:val="00913475"/>
    <w:rsid w:val="00931297"/>
    <w:rsid w:val="0093243D"/>
    <w:rsid w:val="009474A1"/>
    <w:rsid w:val="0095233B"/>
    <w:rsid w:val="00956017"/>
    <w:rsid w:val="00956BC3"/>
    <w:rsid w:val="0095778F"/>
    <w:rsid w:val="00961195"/>
    <w:rsid w:val="00974AE6"/>
    <w:rsid w:val="00980D60"/>
    <w:rsid w:val="0098402A"/>
    <w:rsid w:val="009858E6"/>
    <w:rsid w:val="0099037D"/>
    <w:rsid w:val="009A0D1D"/>
    <w:rsid w:val="009A5793"/>
    <w:rsid w:val="009A6328"/>
    <w:rsid w:val="009A6E00"/>
    <w:rsid w:val="009A745B"/>
    <w:rsid w:val="009B22C0"/>
    <w:rsid w:val="009B3116"/>
    <w:rsid w:val="009C09F9"/>
    <w:rsid w:val="009C5FDA"/>
    <w:rsid w:val="009D5C6A"/>
    <w:rsid w:val="009F5A97"/>
    <w:rsid w:val="00A06B3B"/>
    <w:rsid w:val="00A123B2"/>
    <w:rsid w:val="00A13D6D"/>
    <w:rsid w:val="00A14F0B"/>
    <w:rsid w:val="00A21E8C"/>
    <w:rsid w:val="00A23E60"/>
    <w:rsid w:val="00A40579"/>
    <w:rsid w:val="00A41F55"/>
    <w:rsid w:val="00A4216E"/>
    <w:rsid w:val="00A45B7E"/>
    <w:rsid w:val="00A50919"/>
    <w:rsid w:val="00A533EF"/>
    <w:rsid w:val="00A570D2"/>
    <w:rsid w:val="00A61CDC"/>
    <w:rsid w:val="00A643F4"/>
    <w:rsid w:val="00A71D0C"/>
    <w:rsid w:val="00A733CB"/>
    <w:rsid w:val="00A9424E"/>
    <w:rsid w:val="00AC37B6"/>
    <w:rsid w:val="00AC5C74"/>
    <w:rsid w:val="00AC7054"/>
    <w:rsid w:val="00AD23FF"/>
    <w:rsid w:val="00AE4C9C"/>
    <w:rsid w:val="00B10312"/>
    <w:rsid w:val="00B124F7"/>
    <w:rsid w:val="00B26145"/>
    <w:rsid w:val="00B33CD9"/>
    <w:rsid w:val="00B365A0"/>
    <w:rsid w:val="00B4034E"/>
    <w:rsid w:val="00B416D9"/>
    <w:rsid w:val="00B47D4E"/>
    <w:rsid w:val="00B50276"/>
    <w:rsid w:val="00B50EF5"/>
    <w:rsid w:val="00B86202"/>
    <w:rsid w:val="00B942F7"/>
    <w:rsid w:val="00B962B7"/>
    <w:rsid w:val="00BB65B8"/>
    <w:rsid w:val="00BD03A0"/>
    <w:rsid w:val="00BE4243"/>
    <w:rsid w:val="00BF4D11"/>
    <w:rsid w:val="00BF68A1"/>
    <w:rsid w:val="00C049F5"/>
    <w:rsid w:val="00C05386"/>
    <w:rsid w:val="00C12272"/>
    <w:rsid w:val="00C21983"/>
    <w:rsid w:val="00C26267"/>
    <w:rsid w:val="00C262BC"/>
    <w:rsid w:val="00C34068"/>
    <w:rsid w:val="00C358CE"/>
    <w:rsid w:val="00C625C3"/>
    <w:rsid w:val="00C65636"/>
    <w:rsid w:val="00C70875"/>
    <w:rsid w:val="00C91AE4"/>
    <w:rsid w:val="00CC278C"/>
    <w:rsid w:val="00CD0FE7"/>
    <w:rsid w:val="00CD2D15"/>
    <w:rsid w:val="00CE1CA5"/>
    <w:rsid w:val="00CF2035"/>
    <w:rsid w:val="00CF336B"/>
    <w:rsid w:val="00D02852"/>
    <w:rsid w:val="00D04E34"/>
    <w:rsid w:val="00D155F3"/>
    <w:rsid w:val="00D16DFB"/>
    <w:rsid w:val="00D304CC"/>
    <w:rsid w:val="00D3547A"/>
    <w:rsid w:val="00D447D5"/>
    <w:rsid w:val="00D450F4"/>
    <w:rsid w:val="00D840F8"/>
    <w:rsid w:val="00D864F7"/>
    <w:rsid w:val="00DA31CD"/>
    <w:rsid w:val="00DB2069"/>
    <w:rsid w:val="00DC3D41"/>
    <w:rsid w:val="00DE2D07"/>
    <w:rsid w:val="00DE2E0B"/>
    <w:rsid w:val="00DF1CC1"/>
    <w:rsid w:val="00E453A2"/>
    <w:rsid w:val="00E5576F"/>
    <w:rsid w:val="00E66479"/>
    <w:rsid w:val="00E80C41"/>
    <w:rsid w:val="00E84A9D"/>
    <w:rsid w:val="00E87762"/>
    <w:rsid w:val="00E929E3"/>
    <w:rsid w:val="00E97DAA"/>
    <w:rsid w:val="00EA2D0C"/>
    <w:rsid w:val="00EA370D"/>
    <w:rsid w:val="00EA4175"/>
    <w:rsid w:val="00ED1917"/>
    <w:rsid w:val="00F1366F"/>
    <w:rsid w:val="00F30F40"/>
    <w:rsid w:val="00F347B0"/>
    <w:rsid w:val="00F35B6F"/>
    <w:rsid w:val="00F412F6"/>
    <w:rsid w:val="00F43F44"/>
    <w:rsid w:val="00F6594A"/>
    <w:rsid w:val="00FB0634"/>
    <w:rsid w:val="00FB21D5"/>
    <w:rsid w:val="00FB4DDA"/>
    <w:rsid w:val="00FC74D0"/>
    <w:rsid w:val="00FD119E"/>
    <w:rsid w:val="00FF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8"/>
    <o:shapelayout v:ext="edit">
      <o:idmap v:ext="edit" data="1"/>
    </o:shapelayout>
  </w:shapeDefaults>
  <w:decimalSymbol w:val="."/>
  <w:listSeparator w:val=","/>
  <w15:docId w15:val="{B6635E18-084F-4E83-AA94-9138C7C4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ADC"/>
    <w:pPr>
      <w:spacing w:after="120"/>
    </w:pPr>
    <w:rPr>
      <w:rFonts w:cs="Calibri"/>
      <w:sz w:val="22"/>
      <w:szCs w:val="2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paragraph" w:customStyle="1" w:styleId="Documenttitlemidpurple">
    <w:name w:val="Document title (mid purple)"/>
    <w:qFormat/>
    <w:rsid w:val="00FB0634"/>
    <w:pPr>
      <w:spacing w:after="100"/>
      <w:ind w:left="-170"/>
    </w:pPr>
    <w:rPr>
      <w:rFonts w:eastAsia="Times New Roman"/>
      <w:b/>
      <w:bCs/>
      <w:color w:val="820053"/>
      <w:kern w:val="32"/>
      <w:sz w:val="48"/>
      <w:lang w:eastAsia="en-US"/>
    </w:rPr>
  </w:style>
  <w:style w:type="paragraph" w:customStyle="1" w:styleId="Documenttitledarkpurple">
    <w:name w:val="Document title (dark purple)"/>
    <w:qFormat/>
    <w:rsid w:val="00FB0634"/>
    <w:pPr>
      <w:spacing w:after="100"/>
      <w:ind w:left="-170"/>
    </w:pPr>
    <w:rPr>
      <w:rFonts w:eastAsia="Times New Roman"/>
      <w:b/>
      <w:bCs/>
      <w:color w:val="56004E"/>
      <w:kern w:val="32"/>
      <w:sz w:val="48"/>
      <w:lang w:eastAsia="en-US"/>
    </w:rPr>
  </w:style>
  <w:style w:type="paragraph" w:customStyle="1" w:styleId="Mainheading">
    <w:name w:val="Main heading"/>
    <w:qFormat/>
    <w:rsid w:val="00FB0634"/>
    <w:pPr>
      <w:spacing w:before="360" w:after="120"/>
    </w:pPr>
    <w:rPr>
      <w:b/>
      <w:color w:val="820053"/>
      <w:sz w:val="36"/>
      <w:szCs w:val="22"/>
      <w:lang w:eastAsia="en-US"/>
    </w:rPr>
  </w:style>
  <w:style w:type="paragraph" w:customStyle="1" w:styleId="Secondheading">
    <w:name w:val="Second heading"/>
    <w:qFormat/>
    <w:rsid w:val="00DF1CC1"/>
    <w:pPr>
      <w:spacing w:before="240" w:after="40"/>
    </w:pPr>
    <w:rPr>
      <w:b/>
      <w:color w:val="56004E"/>
      <w:sz w:val="32"/>
      <w:szCs w:val="22"/>
      <w:lang w:eastAsia="en-US"/>
    </w:rPr>
  </w:style>
  <w:style w:type="paragraph" w:customStyle="1" w:styleId="DocumentDescription">
    <w:name w:val="Document Description"/>
    <w:qFormat/>
    <w:rsid w:val="00FB0634"/>
    <w:rPr>
      <w:b/>
      <w:color w:val="56004E"/>
      <w:sz w:val="32"/>
      <w:szCs w:val="22"/>
      <w:lang w:eastAsia="en-US"/>
    </w:rPr>
  </w:style>
  <w:style w:type="paragraph" w:customStyle="1" w:styleId="Dateorreference">
    <w:name w:val="Date or reference"/>
    <w:qFormat/>
    <w:rsid w:val="00FB0634"/>
    <w:pPr>
      <w:jc w:val="right"/>
    </w:pPr>
    <w:rPr>
      <w:rFonts w:eastAsia="Times New Roman"/>
      <w:bCs/>
      <w:color w:val="56004E"/>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FB0634"/>
    <w:rPr>
      <w:rFonts w:eastAsia="Times New Roman" w:cs="Arial"/>
      <w:b/>
      <w:color w:val="56004E"/>
      <w:sz w:val="28"/>
      <w:szCs w:val="28"/>
    </w:rPr>
  </w:style>
  <w:style w:type="paragraph" w:customStyle="1" w:styleId="Pullquotedarkpurple">
    <w:name w:val="Pullquote dark purple"/>
    <w:qFormat/>
    <w:rsid w:val="00FB0634"/>
    <w:pPr>
      <w:spacing w:before="240" w:after="360"/>
      <w:ind w:left="1701" w:right="1701"/>
    </w:pPr>
    <w:rPr>
      <w:rFonts w:ascii="Times New Roman" w:hAnsi="Times New Roman"/>
      <w:color w:val="56004E"/>
      <w:sz w:val="32"/>
      <w:szCs w:val="22"/>
      <w:lang w:eastAsia="en-US"/>
    </w:rPr>
  </w:style>
  <w:style w:type="paragraph" w:customStyle="1" w:styleId="Pullquotemidpurple">
    <w:name w:val="Pullquote mid purple"/>
    <w:qFormat/>
    <w:rsid w:val="00FB0634"/>
    <w:pPr>
      <w:spacing w:before="240" w:after="360"/>
      <w:ind w:left="1701" w:right="1701"/>
    </w:pPr>
    <w:rPr>
      <w:rFonts w:ascii="Times New Roman" w:hAnsi="Times New Roman"/>
      <w:color w:val="820053"/>
      <w:sz w:val="32"/>
      <w:szCs w:val="22"/>
      <w:lang w:eastAsia="en-US"/>
    </w:rPr>
  </w:style>
  <w:style w:type="paragraph" w:customStyle="1" w:styleId="Maintextblack">
    <w:name w:val="Main text black"/>
    <w:basedOn w:val="Normal"/>
    <w:qFormat/>
    <w:rsid w:val="000C529F"/>
    <w:rPr>
      <w:lang w:eastAsia="en-US"/>
    </w:rPr>
  </w:style>
  <w:style w:type="paragraph" w:customStyle="1" w:styleId="Maintextpurple">
    <w:name w:val="Main text purple"/>
    <w:basedOn w:val="Normal"/>
    <w:qFormat/>
    <w:rsid w:val="00FB0634"/>
    <w:rPr>
      <w:color w:val="56004E"/>
      <w:lang w:eastAsia="en-US"/>
    </w:rPr>
  </w:style>
  <w:style w:type="paragraph" w:customStyle="1" w:styleId="Bulletnumbered">
    <w:name w:val="Bullet numbered"/>
    <w:basedOn w:val="Maintextblack"/>
    <w:qFormat/>
    <w:rsid w:val="000C529F"/>
    <w:pPr>
      <w:numPr>
        <w:numId w:val="4"/>
      </w:numPr>
      <w:spacing w:after="80"/>
      <w:ind w:left="357" w:hanging="357"/>
    </w:pPr>
  </w:style>
  <w:style w:type="paragraph" w:customStyle="1" w:styleId="Bulletnumberedblue">
    <w:name w:val="Bullet numbered blue"/>
    <w:basedOn w:val="Maintextblack"/>
    <w:qFormat/>
    <w:rsid w:val="00FB0634"/>
    <w:pPr>
      <w:numPr>
        <w:numId w:val="5"/>
      </w:numPr>
      <w:spacing w:after="80"/>
      <w:ind w:left="357" w:hanging="357"/>
    </w:pPr>
    <w:rPr>
      <w:color w:val="56004E"/>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purple">
    <w:name w:val="Bullet round purple"/>
    <w:qFormat/>
    <w:rsid w:val="00FB0634"/>
    <w:pPr>
      <w:numPr>
        <w:numId w:val="9"/>
      </w:numPr>
      <w:spacing w:after="80"/>
    </w:pPr>
    <w:rPr>
      <w:color w:val="56004E"/>
      <w:sz w:val="22"/>
      <w:szCs w:val="22"/>
      <w:lang w:eastAsia="en-US"/>
    </w:rPr>
  </w:style>
  <w:style w:type="character" w:customStyle="1" w:styleId="Boldtextpurple">
    <w:name w:val="Bold text purple"/>
    <w:basedOn w:val="DefaultParagraphFont"/>
    <w:uiPriority w:val="1"/>
    <w:qFormat/>
    <w:rsid w:val="00FB0634"/>
    <w:rPr>
      <w:b/>
      <w:color w:val="56004E"/>
    </w:rPr>
  </w:style>
  <w:style w:type="character" w:customStyle="1" w:styleId="Boldtextblack">
    <w:name w:val="Bold text black"/>
    <w:basedOn w:val="DefaultParagraphFont"/>
    <w:uiPriority w:val="1"/>
    <w:qFormat/>
    <w:rsid w:val="001768FD"/>
    <w:rPr>
      <w:b/>
    </w:rPr>
  </w:style>
  <w:style w:type="character" w:customStyle="1" w:styleId="Italicpurple">
    <w:name w:val="Italic purple"/>
    <w:basedOn w:val="DefaultParagraphFont"/>
    <w:uiPriority w:val="1"/>
    <w:qFormat/>
    <w:rsid w:val="00FB0634"/>
    <w:rPr>
      <w:i/>
      <w:color w:val="56004E"/>
    </w:rPr>
  </w:style>
  <w:style w:type="character" w:customStyle="1" w:styleId="Italicblack">
    <w:name w:val="Italic black"/>
    <w:basedOn w:val="DefaultParagraphFont"/>
    <w:uiPriority w:val="1"/>
    <w:qFormat/>
    <w:rsid w:val="001768FD"/>
    <w:rPr>
      <w:i/>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Ind w:w="0" w:type="dxa"/>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Ind w:w="0" w:type="dxa"/>
      <w:tblBorders>
        <w:top w:val="single" w:sz="4" w:space="0" w:color="034B89"/>
        <w:left w:val="single" w:sz="4" w:space="0" w:color="034B89"/>
        <w:bottom w:val="single" w:sz="4" w:space="0" w:color="034B89"/>
        <w:right w:val="single" w:sz="4" w:space="0" w:color="034B89"/>
        <w:insideH w:val="single" w:sz="4" w:space="0" w:color="034B89"/>
        <w:insideV w:val="single" w:sz="4" w:space="0" w:color="034B89"/>
      </w:tblBorders>
      <w:tblCellMar>
        <w:top w:w="0" w:type="dxa"/>
        <w:left w:w="0" w:type="dxa"/>
        <w:bottom w:w="0" w:type="dxa"/>
        <w:right w:w="0" w:type="dxa"/>
      </w:tblCellMar>
    </w:tblPr>
    <w:tblStylePr w:type="firstRow">
      <w:rPr>
        <w:b/>
      </w:rPr>
      <w:tblPr/>
      <w:tcPr>
        <w:tcBorders>
          <w:insideV w:val="single" w:sz="4" w:space="0" w:color="FFFFFF"/>
        </w:tcBorders>
        <w:shd w:val="clear" w:color="auto" w:fill="034B89"/>
      </w:tcPr>
    </w:tblStylePr>
    <w:tblStylePr w:type="firstCol">
      <w:rPr>
        <w:b/>
      </w:rPr>
    </w:tblStylePr>
    <w:tblStylePr w:type="band2Horz">
      <w:tblPr/>
      <w:tcPr>
        <w:shd w:val="clear" w:color="auto" w:fill="DCF1FA"/>
      </w:tcPr>
    </w:tblStylePr>
  </w:style>
  <w:style w:type="paragraph" w:customStyle="1" w:styleId="Numberedsecondheading">
    <w:name w:val="Numbered second heading"/>
    <w:qFormat/>
    <w:rsid w:val="00DF1CC1"/>
    <w:pPr>
      <w:numPr>
        <w:ilvl w:val="1"/>
        <w:numId w:val="12"/>
      </w:numPr>
      <w:spacing w:before="240" w:after="40"/>
    </w:pPr>
    <w:rPr>
      <w:b/>
      <w:color w:val="56004E"/>
      <w:sz w:val="32"/>
      <w:szCs w:val="22"/>
      <w:lang w:eastAsia="en-US"/>
    </w:rPr>
  </w:style>
  <w:style w:type="paragraph" w:customStyle="1" w:styleId="Numberedheading">
    <w:name w:val="Numbered heading"/>
    <w:qFormat/>
    <w:rsid w:val="00DF1CC1"/>
    <w:pPr>
      <w:numPr>
        <w:numId w:val="12"/>
      </w:numPr>
      <w:spacing w:before="360" w:after="120"/>
    </w:pPr>
    <w:rPr>
      <w:color w:val="820053"/>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Ind w:w="0" w:type="dxa"/>
      <w:tblCellMar>
        <w:top w:w="0" w:type="dxa"/>
        <w:left w:w="0" w:type="dxa"/>
        <w:bottom w:w="0" w:type="dxa"/>
        <w:right w:w="0" w:type="dxa"/>
      </w:tblCellMar>
    </w:tblPr>
  </w:style>
  <w:style w:type="table" w:customStyle="1" w:styleId="TableGridGreen">
    <w:name w:val="Table Grid (Green)"/>
    <w:basedOn w:val="TableGrid"/>
    <w:uiPriority w:val="99"/>
    <w:qFormat/>
    <w:rsid w:val="002B4ADC"/>
    <w:tblPr>
      <w:tblStyleRowBandSize w:val="1"/>
      <w:tblInd w:w="0" w:type="dxa"/>
      <w:tblBorders>
        <w:top w:val="single" w:sz="8" w:space="0" w:color="455A21"/>
        <w:left w:val="single" w:sz="8" w:space="0" w:color="455A21"/>
        <w:bottom w:val="single" w:sz="8" w:space="0" w:color="455A21"/>
        <w:right w:val="single" w:sz="8" w:space="0" w:color="455A21"/>
        <w:insideH w:val="single" w:sz="8" w:space="0" w:color="455A21"/>
        <w:insideV w:val="single" w:sz="8" w:space="0" w:color="455A21"/>
      </w:tblBorders>
      <w:tblCellMar>
        <w:top w:w="0" w:type="dxa"/>
        <w:left w:w="0" w:type="dxa"/>
        <w:bottom w:w="0" w:type="dxa"/>
        <w:right w:w="0" w:type="dxa"/>
      </w:tblCellMar>
    </w:tblPr>
    <w:tblStylePr w:type="firstRow">
      <w:rPr>
        <w:b/>
        <w:color w:val="FFFFFF"/>
      </w:rPr>
      <w:tblPr/>
      <w:tcPr>
        <w:tcBorders>
          <w:insideV w:val="single" w:sz="8" w:space="0" w:color="FFFFFF"/>
        </w:tcBorders>
        <w:shd w:val="clear" w:color="auto" w:fill="6E942C"/>
      </w:tcPr>
    </w:tblStylePr>
    <w:tblStylePr w:type="firstCol">
      <w:rPr>
        <w:b/>
      </w:rPr>
    </w:tblStylePr>
    <w:tblStylePr w:type="band2Horz">
      <w:tblPr/>
      <w:tcPr>
        <w:shd w:val="clear" w:color="auto" w:fill="E3F0CD"/>
      </w:tcPr>
    </w:tblStylePr>
  </w:style>
  <w:style w:type="table" w:customStyle="1" w:styleId="TableStyle1">
    <w:name w:val="Table Style 1"/>
    <w:basedOn w:val="TableNormal"/>
    <w:uiPriority w:val="99"/>
    <w:qFormat/>
    <w:rsid w:val="002B4ADC"/>
    <w:pPr>
      <w:ind w:left="85" w:right="85"/>
    </w:pPr>
    <w:rPr>
      <w:color w:val="034B89"/>
    </w:rPr>
    <w:tblPr>
      <w:tblInd w:w="0" w:type="dxa"/>
      <w:tblBorders>
        <w:top w:val="single" w:sz="8" w:space="0" w:color="034B89"/>
        <w:bottom w:val="single" w:sz="8" w:space="0" w:color="034B89"/>
      </w:tblBorders>
      <w:tblCellMar>
        <w:top w:w="0" w:type="dxa"/>
        <w:left w:w="0" w:type="dxa"/>
        <w:bottom w:w="0" w:type="dxa"/>
        <w:right w:w="0" w:type="dxa"/>
      </w:tblCellMar>
    </w:tblPr>
    <w:tblStylePr w:type="firstRow">
      <w:rPr>
        <w:b/>
      </w:rPr>
      <w:tblPr/>
      <w:tcPr>
        <w:tcBorders>
          <w:bottom w:val="single" w:sz="8" w:space="0" w:color="034B89"/>
        </w:tcBorders>
      </w:tcPr>
    </w:tblStylePr>
    <w:tblStylePr w:type="lastRow">
      <w:rPr>
        <w:b/>
      </w:rPr>
      <w:tblPr/>
      <w:tcPr>
        <w:tcBorders>
          <w:top w:val="single" w:sz="8" w:space="0" w:color="034B89"/>
        </w:tcBorders>
      </w:tcPr>
    </w:tblStylePr>
  </w:style>
  <w:style w:type="table" w:customStyle="1" w:styleId="TableStyle1Green">
    <w:name w:val="Table Style 1 (Green)"/>
    <w:basedOn w:val="TableStyle1"/>
    <w:uiPriority w:val="99"/>
    <w:qFormat/>
    <w:rsid w:val="002B4ADC"/>
    <w:rPr>
      <w:color w:val="6E942C"/>
    </w:rPr>
    <w:tblPr>
      <w:tblInd w:w="0" w:type="dxa"/>
      <w:tblBorders>
        <w:top w:val="single" w:sz="8" w:space="0" w:color="6E942C"/>
        <w:bottom w:val="single" w:sz="4" w:space="0" w:color="6E942C"/>
      </w:tblBorders>
      <w:tblCellMar>
        <w:top w:w="0" w:type="dxa"/>
        <w:left w:w="0" w:type="dxa"/>
        <w:bottom w:w="0" w:type="dxa"/>
        <w:right w:w="0" w:type="dxa"/>
      </w:tblCellMar>
    </w:tblPr>
    <w:tblStylePr w:type="firstRow">
      <w:rPr>
        <w:b/>
      </w:rPr>
      <w:tblPr/>
      <w:tcPr>
        <w:tcBorders>
          <w:bottom w:val="single" w:sz="4" w:space="0" w:color="6E942C"/>
        </w:tcBorders>
      </w:tcPr>
    </w:tblStylePr>
    <w:tblStylePr w:type="lastRow">
      <w:rPr>
        <w:b/>
      </w:rPr>
      <w:tblPr/>
      <w:tcPr>
        <w:tcBorders>
          <w:top w:val="single" w:sz="4" w:space="0" w:color="6E942C"/>
        </w:tcBorders>
      </w:tcPr>
    </w:tblStylePr>
  </w:style>
  <w:style w:type="table" w:customStyle="1" w:styleId="TableStyle2">
    <w:name w:val="Table Style 2"/>
    <w:basedOn w:val="TableNormal"/>
    <w:uiPriority w:val="99"/>
    <w:qFormat/>
    <w:rsid w:val="002B4ADC"/>
    <w:tblPr>
      <w:tblInd w:w="0" w:type="dxa"/>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rPr>
    <w:tblPr>
      <w:tblInd w:w="0" w:type="dxa"/>
      <w:tblBorders>
        <w:top w:val="single" w:sz="8" w:space="0" w:color="034B89"/>
        <w:left w:val="single" w:sz="8" w:space="0" w:color="034B89"/>
        <w:bottom w:val="single" w:sz="8" w:space="0" w:color="034B89"/>
        <w:right w:val="single" w:sz="8" w:space="0" w:color="034B89"/>
        <w:insideH w:val="single" w:sz="8" w:space="0" w:color="034B89"/>
      </w:tblBorders>
      <w:tblCellMar>
        <w:top w:w="0" w:type="dxa"/>
        <w:left w:w="0" w:type="dxa"/>
        <w:bottom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Ind w:w="0" w:type="dxa"/>
      <w:tblBorders>
        <w:top w:val="single" w:sz="8" w:space="0" w:color="6E942C"/>
        <w:left w:val="single" w:sz="8" w:space="0" w:color="6E942C"/>
        <w:bottom w:val="single" w:sz="8" w:space="0" w:color="6E942C"/>
        <w:right w:val="single" w:sz="8" w:space="0" w:color="6E942C"/>
        <w:insideH w:val="single" w:sz="8" w:space="0" w:color="6E942C"/>
      </w:tblBorders>
      <w:tblCellMar>
        <w:top w:w="0" w:type="dxa"/>
        <w:left w:w="0" w:type="dxa"/>
        <w:bottom w:w="0" w:type="dxa"/>
        <w:right w:w="0" w:type="dxa"/>
      </w:tblCellMar>
    </w:tblPr>
    <w:tcPr>
      <w:shd w:val="clear" w:color="auto" w:fill="FFFFFF"/>
    </w:tcPr>
    <w:tblStylePr w:type="firstRow">
      <w:rPr>
        <w:b/>
        <w:color w:val="FFFFFF"/>
      </w:rPr>
      <w:tblPr/>
      <w:tcPr>
        <w:shd w:val="clear" w:color="auto" w:fill="6E942C"/>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Ind w:w="0" w:type="dxa"/>
      <w:tblBorders>
        <w:top w:val="single" w:sz="8" w:space="0" w:color="034B89"/>
        <w:left w:val="single" w:sz="8" w:space="0" w:color="034B89"/>
        <w:bottom w:val="single" w:sz="8" w:space="0" w:color="034B89"/>
        <w:right w:val="single" w:sz="8" w:space="0" w:color="034B89"/>
        <w:insideH w:val="single" w:sz="8" w:space="0" w:color="034B89"/>
        <w:insideV w:val="single" w:sz="8" w:space="0" w:color="034B89"/>
      </w:tblBorders>
      <w:tblCellMar>
        <w:top w:w="0" w:type="dxa"/>
        <w:left w:w="0" w:type="dxa"/>
        <w:bottom w:w="0" w:type="dxa"/>
        <w:right w:w="0" w:type="dxa"/>
      </w:tblCellMar>
    </w:tblPr>
    <w:tblStylePr w:type="firstRow">
      <w:rPr>
        <w:b/>
        <w:color w:val="FFFFFF"/>
      </w:rPr>
      <w:tblPr/>
      <w:tcPr>
        <w:shd w:val="clear" w:color="auto" w:fill="034B89"/>
      </w:tcPr>
    </w:tblStylePr>
    <w:tblStylePr w:type="firstCol">
      <w:rPr>
        <w:b/>
      </w:rPr>
    </w:tblStylePr>
  </w:style>
  <w:style w:type="table" w:customStyle="1" w:styleId="TableStyle4Green">
    <w:name w:val="Table Style 4 (Green)"/>
    <w:basedOn w:val="TableStyle4"/>
    <w:uiPriority w:val="99"/>
    <w:qFormat/>
    <w:rsid w:val="002B4ADC"/>
    <w:tblPr>
      <w:tblStyleRowBandSize w:val="1"/>
      <w:tblInd w:w="0" w:type="dxa"/>
      <w:tblBorders>
        <w:top w:val="single" w:sz="8" w:space="0" w:color="6E942C"/>
        <w:left w:val="single" w:sz="8" w:space="0" w:color="6E942C"/>
        <w:bottom w:val="single" w:sz="8" w:space="0" w:color="6E942C"/>
        <w:right w:val="single" w:sz="8" w:space="0" w:color="6E942C"/>
        <w:insideH w:val="single" w:sz="8" w:space="0" w:color="6E942C"/>
        <w:insideV w:val="single" w:sz="8" w:space="0" w:color="6E942C"/>
      </w:tblBorders>
      <w:tblCellMar>
        <w:top w:w="0" w:type="dxa"/>
        <w:left w:w="0" w:type="dxa"/>
        <w:bottom w:w="0" w:type="dxa"/>
        <w:right w:w="0" w:type="dxa"/>
      </w:tblCellMar>
    </w:tblPr>
    <w:tblStylePr w:type="firstRow">
      <w:rPr>
        <w:b/>
        <w:color w:val="FFFFFF"/>
      </w:rPr>
      <w:tblPr/>
      <w:tcPr>
        <w:shd w:val="clear" w:color="auto" w:fill="6E942C"/>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FB0634"/>
    <w:pPr>
      <w:spacing w:before="120" w:after="40"/>
    </w:pPr>
    <w:rPr>
      <w:b/>
      <w:color w:val="56004E"/>
      <w:sz w:val="26"/>
      <w:szCs w:val="22"/>
      <w:lang w:eastAsia="en-US"/>
    </w:rPr>
  </w:style>
  <w:style w:type="paragraph" w:customStyle="1" w:styleId="Numberedbullet">
    <w:name w:val="Numbered bullet"/>
    <w:basedOn w:val="Maintextblack"/>
    <w:rsid w:val="006811E7"/>
    <w:pPr>
      <w:spacing w:after="80"/>
      <w:ind w:left="340" w:hanging="340"/>
    </w:pPr>
    <w:rPr>
      <w:rFonts w:cs="Times New Roman"/>
    </w:rPr>
  </w:style>
  <w:style w:type="character" w:customStyle="1" w:styleId="Italicblue">
    <w:name w:val="Italic blue"/>
    <w:basedOn w:val="DefaultParagraphFont"/>
    <w:uiPriority w:val="1"/>
    <w:qFormat/>
    <w:rsid w:val="00285BFD"/>
    <w:rPr>
      <w:i/>
      <w:color w:val="002B54"/>
    </w:rPr>
  </w:style>
  <w:style w:type="character" w:styleId="CommentReference">
    <w:name w:val="annotation reference"/>
    <w:basedOn w:val="DefaultParagraphFont"/>
    <w:uiPriority w:val="99"/>
    <w:semiHidden/>
    <w:unhideWhenUsed/>
    <w:rsid w:val="00A13D6D"/>
    <w:rPr>
      <w:sz w:val="16"/>
      <w:szCs w:val="16"/>
    </w:rPr>
  </w:style>
  <w:style w:type="paragraph" w:styleId="CommentText">
    <w:name w:val="annotation text"/>
    <w:basedOn w:val="Normal"/>
    <w:link w:val="CommentTextChar"/>
    <w:uiPriority w:val="99"/>
    <w:semiHidden/>
    <w:unhideWhenUsed/>
    <w:rsid w:val="00A13D6D"/>
    <w:rPr>
      <w:sz w:val="20"/>
      <w:szCs w:val="20"/>
    </w:rPr>
  </w:style>
  <w:style w:type="character" w:customStyle="1" w:styleId="CommentTextChar">
    <w:name w:val="Comment Text Char"/>
    <w:basedOn w:val="DefaultParagraphFont"/>
    <w:link w:val="CommentText"/>
    <w:uiPriority w:val="99"/>
    <w:semiHidden/>
    <w:rsid w:val="00A13D6D"/>
    <w:rPr>
      <w:rFonts w:cs="Calibri"/>
    </w:rPr>
  </w:style>
  <w:style w:type="paragraph" w:styleId="CommentSubject">
    <w:name w:val="annotation subject"/>
    <w:basedOn w:val="CommentText"/>
    <w:next w:val="CommentText"/>
    <w:link w:val="CommentSubjectChar"/>
    <w:uiPriority w:val="99"/>
    <w:semiHidden/>
    <w:unhideWhenUsed/>
    <w:rsid w:val="00A13D6D"/>
    <w:rPr>
      <w:b/>
      <w:bCs/>
    </w:rPr>
  </w:style>
  <w:style w:type="character" w:customStyle="1" w:styleId="CommentSubjectChar">
    <w:name w:val="Comment Subject Char"/>
    <w:basedOn w:val="CommentTextChar"/>
    <w:link w:val="CommentSubject"/>
    <w:uiPriority w:val="99"/>
    <w:semiHidden/>
    <w:rsid w:val="00A13D6D"/>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55138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6CE32-30F5-4438-BBD5-6D75BB1C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399_13_SD05 purple one column template</vt:lpstr>
    </vt:vector>
  </TitlesOfParts>
  <Company>Environment Agency</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399_13_SD05 purple one column template</dc:title>
  <dc:creator>Dawn Fitzgerald</dc:creator>
  <cp:keywords>39913sd05;399.13.sd05;399-13-sd05</cp:keywords>
  <dc:description>399_13_SD05, issued 8.4.14, versin 2</dc:description>
  <cp:lastModifiedBy>Smith, Diane</cp:lastModifiedBy>
  <cp:revision>2</cp:revision>
  <cp:lastPrinted>2014-09-25T10:40:00Z</cp:lastPrinted>
  <dcterms:created xsi:type="dcterms:W3CDTF">2015-08-26T09:19:00Z</dcterms:created>
  <dcterms:modified xsi:type="dcterms:W3CDTF">2015-08-26T09:19:00Z</dcterms:modified>
</cp:coreProperties>
</file>